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593501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854"/>
          </w:tblGrid>
          <w:tr w:rsidR="00D80E6F">
            <w:trPr>
              <w:trHeight w:val="2880"/>
              <w:jc w:val="center"/>
            </w:trPr>
            <w:sdt>
              <w:sdtPr>
                <w:rPr>
                  <w:rFonts w:asciiTheme="majorHAnsi" w:eastAsiaTheme="majorEastAsia" w:hAnsiTheme="majorHAnsi" w:cstheme="majorBidi"/>
                  <w:caps/>
                </w:rPr>
                <w:alias w:val="Società"/>
                <w:id w:val="15524243"/>
                <w:dataBinding w:prefixMappings="xmlns:ns0='http://schemas.openxmlformats.org/officeDocument/2006/extended-properties'" w:xpath="/ns0:Properties[1]/ns0:Company[1]" w:storeItemID="{6668398D-A668-4E3E-A5EB-62B293D839F1}"/>
                <w:text/>
              </w:sdtPr>
              <w:sdtEndPr>
                <w:rPr>
                  <w:rFonts w:ascii="Garamond" w:hAnsi="Garamond"/>
                  <w:b/>
                </w:rPr>
              </w:sdtEndPr>
              <w:sdtContent>
                <w:tc>
                  <w:tcPr>
                    <w:tcW w:w="5000" w:type="pct"/>
                  </w:tcPr>
                  <w:p w:rsidR="00D80E6F" w:rsidRDefault="00832081" w:rsidP="00340D95">
                    <w:pPr>
                      <w:pStyle w:val="Nessunaspaziatura"/>
                      <w:spacing w:line="360" w:lineRule="auto"/>
                      <w:jc w:val="center"/>
                      <w:rPr>
                        <w:rFonts w:asciiTheme="majorHAnsi" w:eastAsiaTheme="majorEastAsia" w:hAnsiTheme="majorHAnsi" w:cstheme="majorBidi"/>
                        <w:caps/>
                      </w:rPr>
                    </w:pPr>
                    <w:r>
                      <w:rPr>
                        <w:rFonts w:ascii="Garamond" w:eastAsiaTheme="majorEastAsia" w:hAnsi="Garamond" w:cstheme="majorBidi"/>
                        <w:b/>
                        <w:caps/>
                      </w:rPr>
                      <w:t>AMES S.P.A.                                                                                                                                                                AZIENDA MULTISERVIZI ECONOMICI E SOCIALI SPA</w:t>
                    </w:r>
                  </w:p>
                </w:tc>
              </w:sdtContent>
            </w:sdt>
          </w:tr>
          <w:tr w:rsidR="00D80E6F">
            <w:trPr>
              <w:trHeight w:val="1440"/>
              <w:jc w:val="center"/>
            </w:trPr>
            <w:sdt>
              <w:sdtPr>
                <w:rPr>
                  <w:rFonts w:ascii="Garamond" w:eastAsiaTheme="majorEastAsia" w:hAnsi="Garamond" w:cstheme="majorBidi"/>
                  <w:b/>
                  <w:sz w:val="32"/>
                  <w:szCs w:val="32"/>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80E6F" w:rsidRPr="00D80E6F" w:rsidRDefault="00BD54A0" w:rsidP="00340D95">
                    <w:pPr>
                      <w:pStyle w:val="Nessunaspaziatura"/>
                      <w:spacing w:line="360" w:lineRule="auto"/>
                      <w:jc w:val="center"/>
                      <w:rPr>
                        <w:rFonts w:ascii="Garamond" w:eastAsiaTheme="majorEastAsia" w:hAnsi="Garamond" w:cstheme="majorBidi"/>
                        <w:sz w:val="32"/>
                        <w:szCs w:val="32"/>
                      </w:rPr>
                    </w:pPr>
                    <w:r w:rsidRPr="00BD54A0">
                      <w:rPr>
                        <w:rFonts w:ascii="Garamond" w:eastAsiaTheme="majorEastAsia" w:hAnsi="Garamond" w:cstheme="majorBidi"/>
                        <w:b/>
                        <w:sz w:val="32"/>
                        <w:szCs w:val="32"/>
                      </w:rPr>
                      <w:t>APPALTO RELATIVO ALLA FORNITURA DI GENERI ALIMENTARI PER IL SERVIZIO DI RISTORAZIONE SCOLASTICA AGLI ASILI NIDO NEL COMUNE DI VENEZIA.</w:t>
                    </w:r>
                  </w:p>
                </w:tc>
              </w:sdtContent>
            </w:sdt>
          </w:tr>
          <w:tr w:rsidR="00D80E6F">
            <w:trPr>
              <w:trHeight w:val="720"/>
              <w:jc w:val="center"/>
            </w:trPr>
            <w:tc>
              <w:tcPr>
                <w:tcW w:w="5000" w:type="pct"/>
                <w:tcBorders>
                  <w:top w:val="single" w:sz="4" w:space="0" w:color="4F81BD" w:themeColor="accent1"/>
                </w:tcBorders>
                <w:vAlign w:val="center"/>
              </w:tcPr>
              <w:p w:rsidR="00D80E6F" w:rsidRPr="00C73B77" w:rsidRDefault="00BD54A0" w:rsidP="00340D95">
                <w:pPr>
                  <w:pStyle w:val="Nessunaspaziatura"/>
                  <w:spacing w:line="360" w:lineRule="auto"/>
                  <w:jc w:val="center"/>
                  <w:rPr>
                    <w:rFonts w:ascii="Garamond" w:eastAsiaTheme="majorEastAsia" w:hAnsi="Garamond" w:cstheme="majorBidi"/>
                    <w:sz w:val="28"/>
                    <w:szCs w:val="28"/>
                  </w:rPr>
                </w:pPr>
                <w:r w:rsidRPr="00C73B77">
                  <w:rPr>
                    <w:rFonts w:ascii="Garamond" w:eastAsiaTheme="majorEastAsia" w:hAnsi="Garamond" w:cstheme="majorBidi"/>
                    <w:sz w:val="28"/>
                    <w:szCs w:val="28"/>
                  </w:rPr>
                  <w:t>PERIODO SETTEMBRE 2019 – LUGLIO 2021</w:t>
                </w:r>
              </w:p>
            </w:tc>
          </w:tr>
          <w:tr w:rsidR="00D80E6F">
            <w:trPr>
              <w:trHeight w:val="360"/>
              <w:jc w:val="center"/>
            </w:trPr>
            <w:tc>
              <w:tcPr>
                <w:tcW w:w="5000" w:type="pct"/>
                <w:vAlign w:val="center"/>
              </w:tcPr>
              <w:p w:rsidR="00D80E6F" w:rsidRDefault="00D80E6F" w:rsidP="00340D95">
                <w:pPr>
                  <w:pStyle w:val="Nessunaspaziatura"/>
                  <w:spacing w:line="360" w:lineRule="auto"/>
                  <w:jc w:val="center"/>
                </w:pPr>
              </w:p>
            </w:tc>
          </w:tr>
          <w:tr w:rsidR="00D80E6F">
            <w:trPr>
              <w:trHeight w:val="360"/>
              <w:jc w:val="center"/>
            </w:trPr>
            <w:tc>
              <w:tcPr>
                <w:tcW w:w="5000" w:type="pct"/>
                <w:vAlign w:val="center"/>
              </w:tcPr>
              <w:p w:rsidR="00D80E6F" w:rsidRDefault="00D80E6F" w:rsidP="00340D95">
                <w:pPr>
                  <w:pStyle w:val="Nessunaspaziatura"/>
                  <w:spacing w:line="360" w:lineRule="auto"/>
                  <w:jc w:val="center"/>
                  <w:rPr>
                    <w:b/>
                    <w:bCs/>
                  </w:rPr>
                </w:pPr>
              </w:p>
            </w:tc>
          </w:tr>
          <w:tr w:rsidR="00D80E6F">
            <w:trPr>
              <w:trHeight w:val="360"/>
              <w:jc w:val="center"/>
            </w:trPr>
            <w:tc>
              <w:tcPr>
                <w:tcW w:w="5000" w:type="pct"/>
                <w:vAlign w:val="center"/>
              </w:tcPr>
              <w:p w:rsidR="00D80E6F" w:rsidRDefault="00D80E6F" w:rsidP="00340D95">
                <w:pPr>
                  <w:pStyle w:val="Nessunaspaziatura"/>
                  <w:spacing w:line="360" w:lineRule="auto"/>
                  <w:jc w:val="center"/>
                  <w:rPr>
                    <w:b/>
                    <w:bCs/>
                  </w:rPr>
                </w:pPr>
              </w:p>
            </w:tc>
          </w:tr>
        </w:tbl>
        <w:sdt>
          <w:sdtPr>
            <w:rPr>
              <w:rFonts w:ascii="Garamond" w:eastAsiaTheme="majorEastAsia" w:hAnsi="Garamond" w:cstheme="majorBidi"/>
              <w:b/>
              <w:sz w:val="24"/>
              <w:szCs w:val="24"/>
            </w:rPr>
            <w:alias w:val="Sottotitolo"/>
            <w:id w:val="15524255"/>
            <w:dataBinding w:prefixMappings="xmlns:ns0='http://schemas.openxmlformats.org/package/2006/metadata/core-properties' xmlns:ns1='http://purl.org/dc/elements/1.1/'" w:xpath="/ns0:coreProperties[1]/ns1:subject[1]" w:storeItemID="{6C3C8BC8-F283-45AE-878A-BAB7291924A1}"/>
            <w:text/>
          </w:sdtPr>
          <w:sdtEndPr/>
          <w:sdtContent>
            <w:p w:rsidR="00D80E6F" w:rsidRPr="00D80E6F" w:rsidRDefault="00832081" w:rsidP="00340D95">
              <w:pPr>
                <w:spacing w:line="360" w:lineRule="auto"/>
                <w:jc w:val="center"/>
                <w:rPr>
                  <w:b/>
                  <w:sz w:val="24"/>
                  <w:szCs w:val="24"/>
                </w:rPr>
              </w:pPr>
              <w:r>
                <w:rPr>
                  <w:rFonts w:ascii="Garamond" w:eastAsiaTheme="majorEastAsia" w:hAnsi="Garamond" w:cstheme="majorBidi"/>
                  <w:b/>
                  <w:sz w:val="24"/>
                  <w:szCs w:val="24"/>
                </w:rPr>
                <w:t>PROGETTO AI SENSI DELL’ART. 23 COMMI 14 E 15 D.LGS. 50/2016</w:t>
              </w:r>
            </w:p>
          </w:sdtContent>
        </w:sdt>
        <w:p w:rsidR="00D80E6F" w:rsidRDefault="00D80E6F" w:rsidP="00340D95">
          <w:pPr>
            <w:spacing w:line="360" w:lineRule="auto"/>
          </w:pPr>
        </w:p>
        <w:tbl>
          <w:tblPr>
            <w:tblpPr w:leftFromText="187" w:rightFromText="187" w:horzAnchor="margin" w:tblpXSpec="center" w:tblpYSpec="bottom"/>
            <w:tblW w:w="5000" w:type="pct"/>
            <w:tblLook w:val="04A0" w:firstRow="1" w:lastRow="0" w:firstColumn="1" w:lastColumn="0" w:noHBand="0" w:noVBand="1"/>
          </w:tblPr>
          <w:tblGrid>
            <w:gridCol w:w="9854"/>
          </w:tblGrid>
          <w:tr w:rsidR="00D80E6F">
            <w:tc>
              <w:tcPr>
                <w:tcW w:w="5000" w:type="pct"/>
              </w:tcPr>
              <w:p w:rsidR="00D80E6F" w:rsidRDefault="00D80E6F" w:rsidP="00340D95">
                <w:pPr>
                  <w:pStyle w:val="Nessunaspaziatura"/>
                  <w:spacing w:line="360" w:lineRule="auto"/>
                </w:pPr>
              </w:p>
            </w:tc>
          </w:tr>
        </w:tbl>
        <w:p w:rsidR="00D80E6F" w:rsidRDefault="00D80E6F" w:rsidP="00340D95">
          <w:pPr>
            <w:spacing w:line="360" w:lineRule="auto"/>
          </w:pPr>
        </w:p>
        <w:p w:rsidR="00D80E6F" w:rsidRDefault="00D80E6F" w:rsidP="00340D95">
          <w:pPr>
            <w:spacing w:line="360" w:lineRule="auto"/>
          </w:pPr>
          <w:r>
            <w:br w:type="page"/>
          </w:r>
        </w:p>
      </w:sdtContent>
    </w:sdt>
    <w:p w:rsidR="000D6ECE" w:rsidRDefault="00D80E6F" w:rsidP="00C93A85">
      <w:pPr>
        <w:spacing w:line="360" w:lineRule="auto"/>
        <w:jc w:val="both"/>
        <w:outlineLvl w:val="0"/>
        <w:rPr>
          <w:rFonts w:ascii="Garamond" w:hAnsi="Garamond"/>
          <w:b/>
          <w:sz w:val="24"/>
          <w:szCs w:val="24"/>
        </w:rPr>
      </w:pPr>
      <w:r>
        <w:rPr>
          <w:rFonts w:ascii="Garamond" w:hAnsi="Garamond"/>
          <w:b/>
          <w:sz w:val="24"/>
          <w:szCs w:val="24"/>
        </w:rPr>
        <w:lastRenderedPageBreak/>
        <w:t>PREMESSA</w:t>
      </w:r>
    </w:p>
    <w:p w:rsidR="000D6ECE" w:rsidRDefault="000D6ECE" w:rsidP="00340D95">
      <w:pPr>
        <w:spacing w:line="360" w:lineRule="auto"/>
        <w:jc w:val="both"/>
        <w:rPr>
          <w:rFonts w:ascii="Garamond" w:hAnsi="Garamond"/>
          <w:sz w:val="24"/>
          <w:szCs w:val="24"/>
        </w:rPr>
      </w:pPr>
      <w:r>
        <w:rPr>
          <w:rFonts w:ascii="Garamond" w:hAnsi="Garamond"/>
          <w:sz w:val="24"/>
          <w:szCs w:val="24"/>
        </w:rPr>
        <w:t>Ai sensi dell’art. 23, comma 14 del D.Lgs. n. 50/2016</w:t>
      </w:r>
      <w:r w:rsidR="00D80E6F">
        <w:rPr>
          <w:rFonts w:ascii="Garamond" w:hAnsi="Garamond"/>
          <w:sz w:val="24"/>
          <w:szCs w:val="24"/>
        </w:rPr>
        <w:t xml:space="preserve"> (di seguito codice appalti)</w:t>
      </w:r>
      <w:r>
        <w:rPr>
          <w:rFonts w:ascii="Garamond" w:hAnsi="Garamond"/>
          <w:sz w:val="24"/>
          <w:szCs w:val="24"/>
        </w:rPr>
        <w:t xml:space="preserve"> “la progettazione di servizi e forniture è articolata</w:t>
      </w:r>
      <w:r w:rsidRPr="000D6ECE">
        <w:rPr>
          <w:rFonts w:ascii="Garamond" w:hAnsi="Garamond"/>
          <w:sz w:val="24"/>
          <w:szCs w:val="24"/>
        </w:rPr>
        <w:t>, di regola, in un unico livello ed è predisposta dalle stazioni appaltanti, di regola, mediant</w:t>
      </w:r>
      <w:r>
        <w:rPr>
          <w:rFonts w:ascii="Garamond" w:hAnsi="Garamond"/>
          <w:sz w:val="24"/>
          <w:szCs w:val="24"/>
        </w:rPr>
        <w:t>e propri dipendenti in servizio (…)</w:t>
      </w:r>
      <w:r w:rsidRPr="000D6ECE">
        <w:rPr>
          <w:rFonts w:ascii="Garamond" w:hAnsi="Garamond"/>
          <w:sz w:val="24"/>
          <w:szCs w:val="24"/>
        </w:rPr>
        <w:t>.</w:t>
      </w:r>
    </w:p>
    <w:p w:rsidR="000D6ECE" w:rsidRDefault="000D6ECE" w:rsidP="00340D95">
      <w:pPr>
        <w:spacing w:line="360" w:lineRule="auto"/>
        <w:jc w:val="both"/>
        <w:rPr>
          <w:rFonts w:ascii="Garamond" w:hAnsi="Garamond"/>
          <w:sz w:val="24"/>
          <w:szCs w:val="24"/>
        </w:rPr>
      </w:pPr>
      <w:r>
        <w:rPr>
          <w:rFonts w:ascii="Garamond" w:hAnsi="Garamond"/>
          <w:sz w:val="24"/>
          <w:szCs w:val="24"/>
        </w:rPr>
        <w:t>Il presente progetto attiene all’ap</w:t>
      </w:r>
      <w:r w:rsidR="00BD54A0">
        <w:rPr>
          <w:rFonts w:ascii="Garamond" w:hAnsi="Garamond"/>
          <w:sz w:val="24"/>
          <w:szCs w:val="24"/>
        </w:rPr>
        <w:t>palto per la</w:t>
      </w:r>
      <w:r w:rsidR="00BD54A0" w:rsidRPr="00BD54A0">
        <w:rPr>
          <w:rFonts w:ascii="Garamond" w:hAnsi="Garamond"/>
          <w:bCs/>
          <w:iCs/>
          <w:sz w:val="24"/>
          <w:szCs w:val="24"/>
        </w:rPr>
        <w:t xml:space="preserve"> fornitura di generi alimentari per il servizio di ristorazione scolastica agli asili nido del Comune di Venezia</w:t>
      </w:r>
      <w:r>
        <w:rPr>
          <w:rFonts w:ascii="Garamond" w:hAnsi="Garamond"/>
          <w:sz w:val="24"/>
          <w:szCs w:val="24"/>
        </w:rPr>
        <w:t>.</w:t>
      </w:r>
    </w:p>
    <w:p w:rsidR="00177015" w:rsidRDefault="000D6ECE" w:rsidP="00832081">
      <w:pPr>
        <w:spacing w:line="360" w:lineRule="auto"/>
        <w:jc w:val="both"/>
        <w:rPr>
          <w:rFonts w:ascii="Garamond" w:hAnsi="Garamond"/>
          <w:sz w:val="24"/>
          <w:szCs w:val="24"/>
        </w:rPr>
      </w:pPr>
      <w:r>
        <w:rPr>
          <w:rFonts w:ascii="Garamond" w:hAnsi="Garamond"/>
          <w:sz w:val="24"/>
          <w:szCs w:val="24"/>
        </w:rPr>
        <w:t>Esso contiene</w:t>
      </w:r>
      <w:r w:rsidR="00832081">
        <w:rPr>
          <w:rFonts w:ascii="Garamond" w:hAnsi="Garamond"/>
          <w:sz w:val="24"/>
          <w:szCs w:val="24"/>
        </w:rPr>
        <w:t xml:space="preserve"> una relazione</w:t>
      </w:r>
      <w:r w:rsidRPr="00177015">
        <w:rPr>
          <w:rFonts w:ascii="Garamond" w:hAnsi="Garamond"/>
          <w:sz w:val="24"/>
          <w:szCs w:val="24"/>
        </w:rPr>
        <w:t xml:space="preserve"> tecnico illustrativa del contesto in cui è inserito l’appalto</w:t>
      </w:r>
      <w:r w:rsidR="00832081">
        <w:rPr>
          <w:rFonts w:ascii="Garamond" w:hAnsi="Garamond"/>
          <w:sz w:val="24"/>
          <w:szCs w:val="24"/>
        </w:rPr>
        <w:t>, comprendente il</w:t>
      </w:r>
      <w:r w:rsidRPr="00177015">
        <w:rPr>
          <w:rFonts w:ascii="Garamond" w:hAnsi="Garamond"/>
          <w:sz w:val="24"/>
          <w:szCs w:val="24"/>
        </w:rPr>
        <w:t xml:space="preserve"> prospetto economico degli oneri complessivi necessari per l’acquisizione delle forniture</w:t>
      </w:r>
      <w:r w:rsidR="00832081">
        <w:rPr>
          <w:rFonts w:ascii="Garamond" w:hAnsi="Garamond"/>
          <w:sz w:val="24"/>
          <w:szCs w:val="24"/>
        </w:rPr>
        <w:t xml:space="preserve"> e l</w:t>
      </w:r>
      <w:r w:rsidRPr="00177015">
        <w:rPr>
          <w:rFonts w:ascii="Garamond" w:hAnsi="Garamond"/>
          <w:sz w:val="24"/>
          <w:szCs w:val="24"/>
        </w:rPr>
        <w:t>’indicazione degli oneri della sicurezza, se presenti, non soggetti a ribasso</w:t>
      </w:r>
      <w:r w:rsidR="00784DE7">
        <w:rPr>
          <w:rFonts w:ascii="Garamond" w:hAnsi="Garamond"/>
          <w:sz w:val="24"/>
          <w:szCs w:val="24"/>
        </w:rPr>
        <w:t>;</w:t>
      </w:r>
    </w:p>
    <w:p w:rsidR="00177015" w:rsidRPr="00895301" w:rsidRDefault="00784DE7" w:rsidP="00340D95">
      <w:pPr>
        <w:pStyle w:val="Paragrafoelenco"/>
        <w:spacing w:line="360" w:lineRule="auto"/>
        <w:ind w:left="0"/>
        <w:jc w:val="both"/>
        <w:rPr>
          <w:rFonts w:ascii="Garamond" w:hAnsi="Garamond"/>
          <w:b/>
          <w:sz w:val="24"/>
          <w:szCs w:val="24"/>
        </w:rPr>
      </w:pPr>
      <w:r>
        <w:rPr>
          <w:rFonts w:ascii="Garamond" w:hAnsi="Garamond"/>
          <w:sz w:val="24"/>
          <w:szCs w:val="24"/>
        </w:rPr>
        <w:t>Costituisco</w:t>
      </w:r>
      <w:r w:rsidR="00D05705">
        <w:rPr>
          <w:rFonts w:ascii="Garamond" w:hAnsi="Garamond"/>
          <w:sz w:val="24"/>
          <w:szCs w:val="24"/>
        </w:rPr>
        <w:t xml:space="preserve">no </w:t>
      </w:r>
      <w:r>
        <w:rPr>
          <w:rFonts w:ascii="Garamond" w:hAnsi="Garamond"/>
          <w:sz w:val="24"/>
          <w:szCs w:val="24"/>
        </w:rPr>
        <w:t>elementi del progetto di cui all’art. 23 il</w:t>
      </w:r>
      <w:r w:rsidR="00177015">
        <w:rPr>
          <w:rFonts w:ascii="Garamond" w:hAnsi="Garamond"/>
          <w:sz w:val="24"/>
          <w:szCs w:val="24"/>
        </w:rPr>
        <w:t xml:space="preserve"> </w:t>
      </w:r>
      <w:r w:rsidR="00177015" w:rsidRPr="00895301">
        <w:rPr>
          <w:rFonts w:ascii="Garamond" w:hAnsi="Garamond"/>
          <w:b/>
          <w:sz w:val="24"/>
          <w:szCs w:val="24"/>
        </w:rPr>
        <w:t>capitolato speci</w:t>
      </w:r>
      <w:r w:rsidRPr="00895301">
        <w:rPr>
          <w:rFonts w:ascii="Garamond" w:hAnsi="Garamond"/>
          <w:b/>
          <w:sz w:val="24"/>
          <w:szCs w:val="24"/>
        </w:rPr>
        <w:t>ale</w:t>
      </w:r>
      <w:r>
        <w:rPr>
          <w:rFonts w:ascii="Garamond" w:hAnsi="Garamond"/>
          <w:sz w:val="24"/>
          <w:szCs w:val="24"/>
        </w:rPr>
        <w:t xml:space="preserve"> descrittivo e prestazionale e lo </w:t>
      </w:r>
      <w:r w:rsidRPr="00895301">
        <w:rPr>
          <w:rFonts w:ascii="Garamond" w:hAnsi="Garamond"/>
          <w:b/>
          <w:sz w:val="24"/>
          <w:szCs w:val="24"/>
        </w:rPr>
        <w:t>schema di contratto.</w:t>
      </w:r>
      <w:r w:rsidR="00177015" w:rsidRPr="00895301">
        <w:rPr>
          <w:rFonts w:ascii="Garamond" w:hAnsi="Garamond"/>
          <w:b/>
          <w:sz w:val="24"/>
          <w:szCs w:val="24"/>
        </w:rPr>
        <w:t xml:space="preserve"> </w:t>
      </w:r>
    </w:p>
    <w:p w:rsidR="00D80E6F" w:rsidRDefault="00D80E6F" w:rsidP="00340D95">
      <w:pPr>
        <w:spacing w:line="360" w:lineRule="auto"/>
        <w:rPr>
          <w:rFonts w:ascii="Garamond" w:hAnsi="Garamond"/>
          <w:b/>
          <w:sz w:val="24"/>
          <w:szCs w:val="24"/>
        </w:rPr>
      </w:pPr>
    </w:p>
    <w:p w:rsidR="00895301" w:rsidRPr="00895301" w:rsidRDefault="00895301" w:rsidP="00C93A85">
      <w:pPr>
        <w:spacing w:line="360" w:lineRule="auto"/>
        <w:outlineLvl w:val="0"/>
        <w:rPr>
          <w:rFonts w:ascii="Garamond" w:hAnsi="Garamond"/>
          <w:b/>
          <w:sz w:val="24"/>
          <w:szCs w:val="24"/>
        </w:rPr>
      </w:pPr>
      <w:r w:rsidRPr="00895301">
        <w:rPr>
          <w:rFonts w:ascii="Garamond" w:hAnsi="Garamond"/>
          <w:b/>
          <w:sz w:val="24"/>
          <w:szCs w:val="24"/>
        </w:rPr>
        <w:t>RELAZIONE TECNICO ILLUSTRATIVA</w:t>
      </w:r>
    </w:p>
    <w:p w:rsidR="00784DE7" w:rsidRDefault="00784DE7" w:rsidP="00340D95">
      <w:pPr>
        <w:spacing w:line="360" w:lineRule="auto"/>
        <w:jc w:val="both"/>
        <w:rPr>
          <w:rFonts w:ascii="Garamond" w:hAnsi="Garamond"/>
          <w:sz w:val="24"/>
          <w:szCs w:val="24"/>
        </w:rPr>
      </w:pPr>
      <w:r>
        <w:rPr>
          <w:rFonts w:ascii="Garamond" w:hAnsi="Garamond"/>
          <w:sz w:val="24"/>
          <w:szCs w:val="24"/>
        </w:rPr>
        <w:t xml:space="preserve">A.M.E.S. S.p.A. è una società interamente partecipata dal Comune di Venezia, avente le caratteristiche </w:t>
      </w:r>
      <w:proofErr w:type="spellStart"/>
      <w:r>
        <w:rPr>
          <w:rFonts w:ascii="Garamond" w:hAnsi="Garamond"/>
          <w:sz w:val="24"/>
          <w:szCs w:val="24"/>
        </w:rPr>
        <w:t>dell’in</w:t>
      </w:r>
      <w:proofErr w:type="spellEnd"/>
      <w:r>
        <w:rPr>
          <w:rFonts w:ascii="Garamond" w:hAnsi="Garamond"/>
          <w:sz w:val="24"/>
          <w:szCs w:val="24"/>
        </w:rPr>
        <w:t xml:space="preserve"> </w:t>
      </w:r>
      <w:proofErr w:type="spellStart"/>
      <w:r>
        <w:rPr>
          <w:rFonts w:ascii="Garamond" w:hAnsi="Garamond"/>
          <w:sz w:val="24"/>
          <w:szCs w:val="24"/>
        </w:rPr>
        <w:t>house</w:t>
      </w:r>
      <w:proofErr w:type="spellEnd"/>
      <w:r>
        <w:rPr>
          <w:rFonts w:ascii="Garamond" w:hAnsi="Garamond"/>
          <w:sz w:val="24"/>
          <w:szCs w:val="24"/>
        </w:rPr>
        <w:t xml:space="preserve"> </w:t>
      </w:r>
      <w:proofErr w:type="spellStart"/>
      <w:r>
        <w:rPr>
          <w:rFonts w:ascii="Garamond" w:hAnsi="Garamond"/>
          <w:sz w:val="24"/>
          <w:szCs w:val="24"/>
        </w:rPr>
        <w:t>providing</w:t>
      </w:r>
      <w:proofErr w:type="spellEnd"/>
      <w:r>
        <w:rPr>
          <w:rFonts w:ascii="Garamond" w:hAnsi="Garamond"/>
          <w:sz w:val="24"/>
          <w:szCs w:val="24"/>
        </w:rPr>
        <w:t>, per la gestione delle farmacie comunali e dei servizi scolastici di non docenza, ivi compresa la ristorazione scolastica.</w:t>
      </w:r>
    </w:p>
    <w:p w:rsidR="00895301" w:rsidRDefault="00784DE7" w:rsidP="00340D95">
      <w:pPr>
        <w:spacing w:line="360" w:lineRule="auto"/>
        <w:jc w:val="both"/>
        <w:rPr>
          <w:rFonts w:ascii="Garamond" w:hAnsi="Garamond"/>
          <w:sz w:val="24"/>
          <w:szCs w:val="24"/>
        </w:rPr>
      </w:pPr>
      <w:r>
        <w:rPr>
          <w:rFonts w:ascii="Garamond" w:hAnsi="Garamond"/>
          <w:sz w:val="24"/>
          <w:szCs w:val="24"/>
        </w:rPr>
        <w:t xml:space="preserve">Con contratto di servizio il Comune di Venezia ha affidato la gestione </w:t>
      </w:r>
      <w:r w:rsidR="00BD54A0">
        <w:rPr>
          <w:rFonts w:ascii="Garamond" w:hAnsi="Garamond"/>
          <w:sz w:val="24"/>
          <w:szCs w:val="24"/>
        </w:rPr>
        <w:t>del servizio scolastico di non docenza, ivi compresa la ristorazione scolastica,</w:t>
      </w:r>
      <w:r>
        <w:rPr>
          <w:rFonts w:ascii="Garamond" w:hAnsi="Garamond"/>
          <w:sz w:val="24"/>
          <w:szCs w:val="24"/>
        </w:rPr>
        <w:t xml:space="preserve"> ad AMES SpA fino al 2029. Attualmente la società gestisce </w:t>
      </w:r>
      <w:r w:rsidR="00BD54A0">
        <w:rPr>
          <w:rFonts w:ascii="Garamond" w:hAnsi="Garamond"/>
          <w:sz w:val="24"/>
          <w:szCs w:val="24"/>
        </w:rPr>
        <w:t xml:space="preserve">direttamente il servizio di ristorazione in tutti gli asili ubicati </w:t>
      </w:r>
      <w:r>
        <w:rPr>
          <w:rFonts w:ascii="Garamond" w:hAnsi="Garamond"/>
          <w:sz w:val="24"/>
          <w:szCs w:val="24"/>
        </w:rPr>
        <w:t xml:space="preserve">nel territorio veneziano </w:t>
      </w:r>
      <w:r w:rsidR="00BD54A0">
        <w:rPr>
          <w:rFonts w:ascii="Garamond" w:hAnsi="Garamond"/>
          <w:sz w:val="24"/>
          <w:szCs w:val="24"/>
        </w:rPr>
        <w:t>mentre ha scelto di affidare in gestione il servizio di ristorazione scolastica nelle altre scuole mediante</w:t>
      </w:r>
      <w:r>
        <w:rPr>
          <w:rFonts w:ascii="Garamond" w:hAnsi="Garamond"/>
          <w:sz w:val="24"/>
          <w:szCs w:val="24"/>
        </w:rPr>
        <w:t xml:space="preserve"> procedura ad evidenza pubblica. </w:t>
      </w:r>
    </w:p>
    <w:p w:rsidR="00BD54A0" w:rsidRPr="00BD54A0" w:rsidRDefault="00784DE7" w:rsidP="00BD54A0">
      <w:pPr>
        <w:spacing w:line="360" w:lineRule="auto"/>
        <w:jc w:val="both"/>
        <w:rPr>
          <w:rFonts w:ascii="Garamond" w:hAnsi="Garamond"/>
          <w:sz w:val="24"/>
          <w:szCs w:val="24"/>
        </w:rPr>
      </w:pPr>
      <w:r>
        <w:rPr>
          <w:rFonts w:ascii="Garamond" w:hAnsi="Garamond"/>
          <w:sz w:val="24"/>
          <w:szCs w:val="24"/>
        </w:rPr>
        <w:t xml:space="preserve">Nell’ambito della gestione </w:t>
      </w:r>
      <w:r w:rsidR="00BD54A0">
        <w:rPr>
          <w:rFonts w:ascii="Garamond" w:hAnsi="Garamond"/>
          <w:sz w:val="24"/>
          <w:szCs w:val="24"/>
        </w:rPr>
        <w:t>diretta del servizio presso i nidi veneziani</w:t>
      </w:r>
      <w:r>
        <w:rPr>
          <w:rFonts w:ascii="Garamond" w:hAnsi="Garamond"/>
          <w:sz w:val="24"/>
          <w:szCs w:val="24"/>
        </w:rPr>
        <w:t xml:space="preserve"> la società necessita di approvvigionarsi d</w:t>
      </w:r>
      <w:r w:rsidR="00BD54A0">
        <w:rPr>
          <w:rFonts w:ascii="Garamond" w:hAnsi="Garamond"/>
          <w:sz w:val="24"/>
          <w:szCs w:val="24"/>
        </w:rPr>
        <w:t>ei generi alimentari destinati all’esecuzione del predetto servizio. I</w:t>
      </w:r>
      <w:r w:rsidR="00BD54A0" w:rsidRPr="00BD54A0">
        <w:rPr>
          <w:rFonts w:ascii="Garamond" w:hAnsi="Garamond"/>
          <w:sz w:val="24"/>
          <w:szCs w:val="24"/>
        </w:rPr>
        <w:t xml:space="preserve">n attuazione delle normative vigenti, </w:t>
      </w:r>
      <w:r w:rsidR="00BD54A0">
        <w:rPr>
          <w:rFonts w:ascii="Garamond" w:hAnsi="Garamond"/>
          <w:sz w:val="24"/>
          <w:szCs w:val="24"/>
        </w:rPr>
        <w:t xml:space="preserve">la società </w:t>
      </w:r>
      <w:r w:rsidR="00BD54A0" w:rsidRPr="00BD54A0">
        <w:rPr>
          <w:rFonts w:ascii="Garamond" w:hAnsi="Garamond"/>
          <w:sz w:val="24"/>
          <w:szCs w:val="24"/>
        </w:rPr>
        <w:t xml:space="preserve">promuove e privilegia l’impiego nella ristorazione scolastica di prodotti da agricoltura biologica, DOP, IGP, tipici e tradizionali, a lotta integrata, filiera corta e prodotti del commercio equosolidale. </w:t>
      </w:r>
      <w:r w:rsidR="00BD54A0">
        <w:rPr>
          <w:rFonts w:ascii="Garamond" w:hAnsi="Garamond"/>
          <w:sz w:val="24"/>
          <w:szCs w:val="24"/>
        </w:rPr>
        <w:t xml:space="preserve">Per questo motivo AMES ha indicato nel Capitolato speciale d’appalto i </w:t>
      </w:r>
      <w:r w:rsidR="00BD54A0" w:rsidRPr="00BD54A0">
        <w:rPr>
          <w:rFonts w:ascii="Garamond" w:hAnsi="Garamond"/>
          <w:sz w:val="24"/>
          <w:szCs w:val="24"/>
        </w:rPr>
        <w:t xml:space="preserve">prodotti che devono  appartenere alle categorie sopradescritte, se reperibili. La reperibilità deve essere valutata rispetto alla disponibilità sul mercato, alle quantità necessarie e alla produzione, ma anche alla provenienza; non deve comportare un allungamento delle filiere e delle distanze tra produzione e consumo. In ogni caso, per tutte le tipologie di derrate, tenuto conto degli indirizzi normativi in materia </w:t>
      </w:r>
      <w:r w:rsidR="00BD54A0" w:rsidRPr="00BD54A0">
        <w:rPr>
          <w:rFonts w:ascii="Garamond" w:hAnsi="Garamond"/>
          <w:sz w:val="24"/>
          <w:szCs w:val="24"/>
        </w:rPr>
        <w:lastRenderedPageBreak/>
        <w:t xml:space="preserve">di contenimento dell’impatto ambientale, deve essere incentivata la provenienza da filiera corta o da produzione/filiera nazionale. Per tutte le derrate alimentari </w:t>
      </w:r>
      <w:r w:rsidR="00C848CF">
        <w:rPr>
          <w:rFonts w:ascii="Garamond" w:hAnsi="Garamond"/>
          <w:sz w:val="24"/>
          <w:szCs w:val="24"/>
        </w:rPr>
        <w:t>si è stabilito di escludere</w:t>
      </w:r>
      <w:r w:rsidR="00BD54A0" w:rsidRPr="00BD54A0">
        <w:rPr>
          <w:rFonts w:ascii="Garamond" w:hAnsi="Garamond"/>
          <w:sz w:val="24"/>
          <w:szCs w:val="24"/>
        </w:rPr>
        <w:t xml:space="preserve"> i prodotti di provenienza extracomunitaria ad eccezione di alcuni prodotti di cui è dimostrabile che non p</w:t>
      </w:r>
      <w:r w:rsidR="00C848CF">
        <w:rPr>
          <w:rFonts w:ascii="Garamond" w:hAnsi="Garamond"/>
          <w:sz w:val="24"/>
          <w:szCs w:val="24"/>
        </w:rPr>
        <w:t xml:space="preserve">ossa </w:t>
      </w:r>
      <w:r w:rsidR="00BD54A0" w:rsidRPr="00BD54A0">
        <w:rPr>
          <w:rFonts w:ascii="Garamond" w:hAnsi="Garamond"/>
          <w:sz w:val="24"/>
          <w:szCs w:val="24"/>
        </w:rPr>
        <w:t xml:space="preserve">essere prevista una produzione adeguata in territorio comunitario (es. banane), </w:t>
      </w:r>
      <w:r w:rsidR="00C848CF">
        <w:rPr>
          <w:rFonts w:ascii="Garamond" w:hAnsi="Garamond"/>
          <w:sz w:val="24"/>
          <w:szCs w:val="24"/>
        </w:rPr>
        <w:t xml:space="preserve">che </w:t>
      </w:r>
      <w:r w:rsidR="00BD54A0" w:rsidRPr="00BD54A0">
        <w:rPr>
          <w:rFonts w:ascii="Garamond" w:hAnsi="Garamond"/>
          <w:sz w:val="24"/>
          <w:szCs w:val="24"/>
        </w:rPr>
        <w:t>dovranno</w:t>
      </w:r>
      <w:r w:rsidR="00C848CF">
        <w:rPr>
          <w:rFonts w:ascii="Garamond" w:hAnsi="Garamond"/>
          <w:sz w:val="24"/>
          <w:szCs w:val="24"/>
        </w:rPr>
        <w:t>,</w:t>
      </w:r>
      <w:r w:rsidR="00BD54A0" w:rsidRPr="00BD54A0">
        <w:rPr>
          <w:rFonts w:ascii="Garamond" w:hAnsi="Garamond"/>
          <w:sz w:val="24"/>
          <w:szCs w:val="24"/>
        </w:rPr>
        <w:t xml:space="preserve"> in tal caso</w:t>
      </w:r>
      <w:r w:rsidR="00C848CF">
        <w:rPr>
          <w:rFonts w:ascii="Garamond" w:hAnsi="Garamond"/>
          <w:sz w:val="24"/>
          <w:szCs w:val="24"/>
        </w:rPr>
        <w:t>,</w:t>
      </w:r>
      <w:r w:rsidR="00BD54A0" w:rsidRPr="00BD54A0">
        <w:rPr>
          <w:rFonts w:ascii="Garamond" w:hAnsi="Garamond"/>
          <w:sz w:val="24"/>
          <w:szCs w:val="24"/>
        </w:rPr>
        <w:t xml:space="preserve"> essere biologici, se reperibili.</w:t>
      </w:r>
    </w:p>
    <w:p w:rsidR="00BD54A0" w:rsidRPr="00BD54A0" w:rsidRDefault="00BD54A0" w:rsidP="00BD54A0">
      <w:pPr>
        <w:spacing w:line="360" w:lineRule="auto"/>
        <w:jc w:val="both"/>
        <w:rPr>
          <w:rFonts w:ascii="Garamond" w:hAnsi="Garamond"/>
          <w:sz w:val="24"/>
          <w:szCs w:val="24"/>
        </w:rPr>
      </w:pPr>
      <w:r w:rsidRPr="00BD54A0">
        <w:rPr>
          <w:rFonts w:ascii="Garamond" w:hAnsi="Garamond"/>
          <w:sz w:val="24"/>
          <w:szCs w:val="24"/>
        </w:rPr>
        <w:t xml:space="preserve">Per tutte le produzioni alimentari </w:t>
      </w:r>
      <w:r w:rsidR="00C73B77">
        <w:rPr>
          <w:rFonts w:ascii="Garamond" w:hAnsi="Garamond"/>
          <w:sz w:val="24"/>
          <w:szCs w:val="24"/>
        </w:rPr>
        <w:t>s</w:t>
      </w:r>
      <w:r w:rsidR="00C848CF">
        <w:rPr>
          <w:rFonts w:ascii="Garamond" w:hAnsi="Garamond"/>
          <w:sz w:val="24"/>
          <w:szCs w:val="24"/>
        </w:rPr>
        <w:t xml:space="preserve">i dovrà prevedere che l’Impresa aggiudicataria </w:t>
      </w:r>
      <w:r w:rsidRPr="00BD54A0">
        <w:rPr>
          <w:rFonts w:ascii="Garamond" w:hAnsi="Garamond"/>
          <w:sz w:val="24"/>
          <w:szCs w:val="24"/>
        </w:rPr>
        <w:t>garant</w:t>
      </w:r>
      <w:r w:rsidR="00C848CF">
        <w:rPr>
          <w:rFonts w:ascii="Garamond" w:hAnsi="Garamond"/>
          <w:sz w:val="24"/>
          <w:szCs w:val="24"/>
        </w:rPr>
        <w:t>isca</w:t>
      </w:r>
      <w:r w:rsidRPr="00BD54A0">
        <w:rPr>
          <w:rFonts w:ascii="Garamond" w:hAnsi="Garamond"/>
          <w:sz w:val="24"/>
          <w:szCs w:val="24"/>
        </w:rPr>
        <w:t xml:space="preserve"> e </w:t>
      </w:r>
      <w:r w:rsidR="00C848CF">
        <w:rPr>
          <w:rFonts w:ascii="Garamond" w:hAnsi="Garamond"/>
          <w:sz w:val="24"/>
          <w:szCs w:val="24"/>
        </w:rPr>
        <w:t xml:space="preserve">possa </w:t>
      </w:r>
      <w:r w:rsidRPr="00BD54A0">
        <w:rPr>
          <w:rFonts w:ascii="Garamond" w:hAnsi="Garamond"/>
          <w:sz w:val="24"/>
          <w:szCs w:val="24"/>
        </w:rPr>
        <w:t>document</w:t>
      </w:r>
      <w:r w:rsidR="00C848CF">
        <w:rPr>
          <w:rFonts w:ascii="Garamond" w:hAnsi="Garamond"/>
          <w:sz w:val="24"/>
          <w:szCs w:val="24"/>
        </w:rPr>
        <w:t>are</w:t>
      </w:r>
      <w:r w:rsidRPr="00BD54A0">
        <w:rPr>
          <w:rFonts w:ascii="Garamond" w:hAnsi="Garamond"/>
          <w:sz w:val="24"/>
          <w:szCs w:val="24"/>
        </w:rPr>
        <w:t xml:space="preserve"> la rintracciabilità della filiera ai sensi del Regolamento CE n. 178 del 28 gennaio 2002 e successive modifiche e integrazioni, nonché osservare la corretta etichettatura degli imballaggi nel rispetto del D. Lgs. n. 109 del 27 gennaio 1992 e del Reg. CE 1169/11 e successive modifiche e integrazioni. </w:t>
      </w:r>
    </w:p>
    <w:p w:rsidR="00BD54A0" w:rsidRPr="00BD54A0" w:rsidRDefault="00C848CF" w:rsidP="00BD54A0">
      <w:pPr>
        <w:spacing w:line="360" w:lineRule="auto"/>
        <w:jc w:val="both"/>
        <w:rPr>
          <w:rFonts w:ascii="Garamond" w:hAnsi="Garamond"/>
          <w:sz w:val="24"/>
          <w:szCs w:val="24"/>
        </w:rPr>
      </w:pPr>
      <w:r>
        <w:rPr>
          <w:rFonts w:ascii="Garamond" w:hAnsi="Garamond"/>
          <w:sz w:val="24"/>
          <w:szCs w:val="24"/>
        </w:rPr>
        <w:t xml:space="preserve">Si dovrà prevedere che </w:t>
      </w:r>
      <w:r w:rsidR="0069652A">
        <w:rPr>
          <w:rFonts w:ascii="Garamond" w:hAnsi="Garamond"/>
          <w:sz w:val="24"/>
          <w:szCs w:val="24"/>
        </w:rPr>
        <w:t>g</w:t>
      </w:r>
      <w:r w:rsidR="00BD54A0" w:rsidRPr="00BD54A0">
        <w:rPr>
          <w:rFonts w:ascii="Garamond" w:hAnsi="Garamond"/>
          <w:sz w:val="24"/>
          <w:szCs w:val="24"/>
        </w:rPr>
        <w:t>li imballaggi de</w:t>
      </w:r>
      <w:r>
        <w:rPr>
          <w:rFonts w:ascii="Garamond" w:hAnsi="Garamond"/>
          <w:sz w:val="24"/>
          <w:szCs w:val="24"/>
        </w:rPr>
        <w:t>bbano</w:t>
      </w:r>
      <w:r w:rsidR="00BD54A0" w:rsidRPr="00BD54A0">
        <w:rPr>
          <w:rFonts w:ascii="Garamond" w:hAnsi="Garamond"/>
          <w:sz w:val="24"/>
          <w:szCs w:val="24"/>
        </w:rPr>
        <w:t xml:space="preserve"> essere conformi a quanto prescrive la normativa di riferimento, mantenendo costante attenzione su di essa, sulle linee guida esplicative, sugli aggiornamenti attuativi a garanzia della sicurezza dell’alimento, sotto il profilo igienico sanitario e in riferimento a problematiche emergenti attinenti a potenziali contaminanti rilasciati da confezioni/imballi, e nell’ottica della tutela dell’ambiente. I prodotti consegnati devono essere privi di corpi estranei, muffe, sudiciume, parassiti, difetti merceologici, odori, sapori, consistenza o colorazioni anomale. Si </w:t>
      </w:r>
      <w:r w:rsidR="00FF47C0">
        <w:rPr>
          <w:rFonts w:ascii="Garamond" w:hAnsi="Garamond"/>
          <w:sz w:val="24"/>
          <w:szCs w:val="24"/>
        </w:rPr>
        <w:t xml:space="preserve">dovrà </w:t>
      </w:r>
      <w:r w:rsidR="00BD54A0" w:rsidRPr="00BD54A0">
        <w:rPr>
          <w:rFonts w:ascii="Garamond" w:hAnsi="Garamond"/>
          <w:sz w:val="24"/>
          <w:szCs w:val="24"/>
        </w:rPr>
        <w:t>chiede</w:t>
      </w:r>
      <w:r w:rsidR="00FF47C0">
        <w:rPr>
          <w:rFonts w:ascii="Garamond" w:hAnsi="Garamond"/>
          <w:sz w:val="24"/>
          <w:szCs w:val="24"/>
        </w:rPr>
        <w:t>re</w:t>
      </w:r>
      <w:r w:rsidR="00BD54A0" w:rsidRPr="00BD54A0">
        <w:rPr>
          <w:rFonts w:ascii="Garamond" w:hAnsi="Garamond"/>
          <w:sz w:val="24"/>
          <w:szCs w:val="24"/>
        </w:rPr>
        <w:t xml:space="preserve"> di trovare soluzioni a basso impatto ambientale</w:t>
      </w:r>
      <w:r w:rsidR="00FF47C0">
        <w:rPr>
          <w:rFonts w:ascii="Garamond" w:hAnsi="Garamond"/>
          <w:sz w:val="24"/>
          <w:szCs w:val="24"/>
        </w:rPr>
        <w:t xml:space="preserve"> per la gestione dell’appalto.</w:t>
      </w:r>
    </w:p>
    <w:p w:rsidR="00BD54A0" w:rsidRPr="00BD54A0" w:rsidRDefault="00BD54A0" w:rsidP="00BD54A0">
      <w:pPr>
        <w:spacing w:line="360" w:lineRule="auto"/>
        <w:jc w:val="both"/>
        <w:rPr>
          <w:rFonts w:ascii="Garamond" w:hAnsi="Garamond"/>
          <w:sz w:val="24"/>
          <w:szCs w:val="24"/>
        </w:rPr>
      </w:pPr>
      <w:r w:rsidRPr="00BD54A0">
        <w:rPr>
          <w:rFonts w:ascii="Garamond" w:hAnsi="Garamond"/>
          <w:sz w:val="24"/>
          <w:szCs w:val="24"/>
        </w:rPr>
        <w:t xml:space="preserve">Non </w:t>
      </w:r>
      <w:r w:rsidR="00C848CF">
        <w:rPr>
          <w:rFonts w:ascii="Garamond" w:hAnsi="Garamond"/>
          <w:sz w:val="24"/>
          <w:szCs w:val="24"/>
        </w:rPr>
        <w:t xml:space="preserve">potendo </w:t>
      </w:r>
      <w:r w:rsidRPr="00BD54A0">
        <w:rPr>
          <w:rFonts w:ascii="Garamond" w:hAnsi="Garamond"/>
          <w:sz w:val="24"/>
          <w:szCs w:val="24"/>
        </w:rPr>
        <w:t>tutti gli alimenti</w:t>
      </w:r>
      <w:r w:rsidR="00C848CF">
        <w:rPr>
          <w:rFonts w:ascii="Garamond" w:hAnsi="Garamond"/>
          <w:sz w:val="24"/>
          <w:szCs w:val="24"/>
        </w:rPr>
        <w:t xml:space="preserve"> </w:t>
      </w:r>
      <w:r w:rsidRPr="00BD54A0">
        <w:rPr>
          <w:rFonts w:ascii="Garamond" w:hAnsi="Garamond"/>
          <w:sz w:val="24"/>
          <w:szCs w:val="24"/>
        </w:rPr>
        <w:t xml:space="preserve"> utilizzati per il servizio oggetto dell’appalto</w:t>
      </w:r>
      <w:r w:rsidR="00FF47C0">
        <w:rPr>
          <w:rFonts w:ascii="Garamond" w:hAnsi="Garamond"/>
          <w:sz w:val="24"/>
          <w:szCs w:val="24"/>
        </w:rPr>
        <w:t xml:space="preserve"> essere</w:t>
      </w:r>
      <w:r w:rsidR="00C848CF">
        <w:rPr>
          <w:rFonts w:ascii="Garamond" w:hAnsi="Garamond"/>
          <w:sz w:val="24"/>
          <w:szCs w:val="24"/>
        </w:rPr>
        <w:t xml:space="preserve"> </w:t>
      </w:r>
      <w:r w:rsidR="00C848CF" w:rsidRPr="00BD54A0">
        <w:rPr>
          <w:rFonts w:ascii="Garamond" w:hAnsi="Garamond"/>
          <w:sz w:val="24"/>
          <w:szCs w:val="24"/>
        </w:rPr>
        <w:t>inseriti nel</w:t>
      </w:r>
      <w:r w:rsidR="00FF47C0">
        <w:rPr>
          <w:rFonts w:ascii="Garamond" w:hAnsi="Garamond"/>
          <w:sz w:val="24"/>
          <w:szCs w:val="24"/>
        </w:rPr>
        <w:t>l’</w:t>
      </w:r>
      <w:r w:rsidR="00C848CF" w:rsidRPr="00BD54A0">
        <w:rPr>
          <w:rFonts w:ascii="Garamond" w:hAnsi="Garamond"/>
          <w:sz w:val="24"/>
          <w:szCs w:val="24"/>
        </w:rPr>
        <w:t>allegato</w:t>
      </w:r>
      <w:r w:rsidR="00FF47C0">
        <w:rPr>
          <w:rFonts w:ascii="Garamond" w:hAnsi="Garamond"/>
          <w:sz w:val="24"/>
          <w:szCs w:val="24"/>
        </w:rPr>
        <w:t xml:space="preserve"> tecnico,</w:t>
      </w:r>
      <w:r w:rsidR="00C848CF" w:rsidRPr="00BD54A0">
        <w:rPr>
          <w:rFonts w:ascii="Garamond" w:hAnsi="Garamond"/>
          <w:sz w:val="24"/>
          <w:szCs w:val="24"/>
        </w:rPr>
        <w:t xml:space="preserve"> </w:t>
      </w:r>
      <w:r w:rsidR="00FF47C0">
        <w:rPr>
          <w:rFonts w:ascii="Garamond" w:hAnsi="Garamond"/>
          <w:sz w:val="24"/>
          <w:szCs w:val="24"/>
        </w:rPr>
        <w:t>la società dovrà</w:t>
      </w:r>
      <w:r w:rsidRPr="00BD54A0">
        <w:rPr>
          <w:rFonts w:ascii="Garamond" w:hAnsi="Garamond"/>
          <w:sz w:val="24"/>
          <w:szCs w:val="24"/>
        </w:rPr>
        <w:t xml:space="preserve"> riserva</w:t>
      </w:r>
      <w:r w:rsidR="00FF47C0">
        <w:rPr>
          <w:rFonts w:ascii="Garamond" w:hAnsi="Garamond"/>
          <w:sz w:val="24"/>
          <w:szCs w:val="24"/>
        </w:rPr>
        <w:t>rsi</w:t>
      </w:r>
      <w:r w:rsidRPr="00BD54A0">
        <w:rPr>
          <w:rFonts w:ascii="Garamond" w:hAnsi="Garamond"/>
          <w:sz w:val="24"/>
          <w:szCs w:val="24"/>
        </w:rPr>
        <w:t xml:space="preserve"> di poter richiedere all’I</w:t>
      </w:r>
      <w:r w:rsidR="00FF47C0">
        <w:rPr>
          <w:rFonts w:ascii="Garamond" w:hAnsi="Garamond"/>
          <w:sz w:val="24"/>
          <w:szCs w:val="24"/>
        </w:rPr>
        <w:t xml:space="preserve">mpresa aggiudicataria </w:t>
      </w:r>
      <w:r w:rsidRPr="00BD54A0">
        <w:rPr>
          <w:rFonts w:ascii="Garamond" w:hAnsi="Garamond"/>
          <w:sz w:val="24"/>
          <w:szCs w:val="24"/>
        </w:rPr>
        <w:t>l’impiego di ulteriori alimenti non inseriti, che si rende</w:t>
      </w:r>
      <w:r w:rsidR="00FF47C0">
        <w:rPr>
          <w:rFonts w:ascii="Garamond" w:hAnsi="Garamond"/>
          <w:sz w:val="24"/>
          <w:szCs w:val="24"/>
        </w:rPr>
        <w:t>ssero</w:t>
      </w:r>
      <w:r w:rsidRPr="00BD54A0">
        <w:rPr>
          <w:rFonts w:ascii="Garamond" w:hAnsi="Garamond"/>
          <w:sz w:val="24"/>
          <w:szCs w:val="24"/>
        </w:rPr>
        <w:t xml:space="preserve"> necessari nelle preparazioni culinarie previste dal men</w:t>
      </w:r>
      <w:r w:rsidR="00617062">
        <w:rPr>
          <w:rFonts w:ascii="Garamond" w:hAnsi="Garamond"/>
          <w:sz w:val="24"/>
          <w:szCs w:val="24"/>
        </w:rPr>
        <w:t>ù</w:t>
      </w:r>
      <w:r w:rsidRPr="00BD54A0">
        <w:rPr>
          <w:rFonts w:ascii="Garamond" w:hAnsi="Garamond"/>
          <w:sz w:val="24"/>
          <w:szCs w:val="24"/>
        </w:rPr>
        <w:t xml:space="preserve">, previa indicazione delle loro caratteristiche merceologiche. </w:t>
      </w:r>
      <w:r w:rsidR="00FF47C0">
        <w:rPr>
          <w:rFonts w:ascii="Garamond" w:hAnsi="Garamond"/>
          <w:sz w:val="24"/>
          <w:szCs w:val="24"/>
        </w:rPr>
        <w:t>Il capitolato dovrà inoltre prevedere la r</w:t>
      </w:r>
      <w:r w:rsidRPr="00BD54A0">
        <w:rPr>
          <w:rFonts w:ascii="Garamond" w:hAnsi="Garamond"/>
          <w:sz w:val="24"/>
          <w:szCs w:val="24"/>
        </w:rPr>
        <w:t xml:space="preserve">iserva di </w:t>
      </w:r>
      <w:r w:rsidR="00FF47C0">
        <w:rPr>
          <w:rFonts w:ascii="Garamond" w:hAnsi="Garamond"/>
          <w:sz w:val="24"/>
          <w:szCs w:val="24"/>
        </w:rPr>
        <w:t xml:space="preserve">poter </w:t>
      </w:r>
      <w:r w:rsidRPr="00BD54A0">
        <w:rPr>
          <w:rFonts w:ascii="Garamond" w:hAnsi="Garamond"/>
          <w:sz w:val="24"/>
          <w:szCs w:val="24"/>
        </w:rPr>
        <w:t>chiedere la sostituzione di un prodotto accreditato, laddove si riscontr</w:t>
      </w:r>
      <w:r w:rsidR="00FF47C0">
        <w:rPr>
          <w:rFonts w:ascii="Garamond" w:hAnsi="Garamond"/>
          <w:sz w:val="24"/>
          <w:szCs w:val="24"/>
        </w:rPr>
        <w:t>i</w:t>
      </w:r>
      <w:r w:rsidRPr="00BD54A0">
        <w:rPr>
          <w:rFonts w:ascii="Garamond" w:hAnsi="Garamond"/>
          <w:sz w:val="24"/>
          <w:szCs w:val="24"/>
        </w:rPr>
        <w:t xml:space="preserve"> una mancata </w:t>
      </w:r>
      <w:proofErr w:type="spellStart"/>
      <w:r w:rsidRPr="00BD54A0">
        <w:rPr>
          <w:rFonts w:ascii="Garamond" w:hAnsi="Garamond"/>
          <w:sz w:val="24"/>
          <w:szCs w:val="24"/>
        </w:rPr>
        <w:t>gradibilità</w:t>
      </w:r>
      <w:proofErr w:type="spellEnd"/>
      <w:r w:rsidRPr="00BD54A0">
        <w:rPr>
          <w:rFonts w:ascii="Garamond" w:hAnsi="Garamond"/>
          <w:sz w:val="24"/>
          <w:szCs w:val="24"/>
        </w:rPr>
        <w:t>, concordando con l’Azienda le soluzioni più congrue.</w:t>
      </w:r>
    </w:p>
    <w:p w:rsidR="00BD54A0" w:rsidRPr="00BD54A0" w:rsidRDefault="00BD54A0" w:rsidP="00BD54A0">
      <w:pPr>
        <w:spacing w:line="360" w:lineRule="auto"/>
        <w:jc w:val="both"/>
        <w:rPr>
          <w:rFonts w:ascii="Garamond" w:hAnsi="Garamond"/>
          <w:sz w:val="24"/>
          <w:szCs w:val="24"/>
        </w:rPr>
      </w:pPr>
      <w:r w:rsidRPr="00BD54A0">
        <w:rPr>
          <w:rFonts w:ascii="Garamond" w:hAnsi="Garamond"/>
          <w:sz w:val="24"/>
          <w:szCs w:val="24"/>
        </w:rPr>
        <w:t>Alcune tipologie di derrate devono obbligatoriamente appartenere alla categoria di prodotti biologici, alcuni dei quali possono essere alternativamente appartenenti alle categorie DOP, IGP, prodotti tipici e tradizionali, fermo restando il principio generale della reperibilità dei prodotti biologici che nel tempo può subire variazioni ma che deve essere gestita nell’ottica del miglioramento della qualità.</w:t>
      </w:r>
    </w:p>
    <w:p w:rsidR="00784DE7" w:rsidRDefault="00784DE7" w:rsidP="00340D95">
      <w:pPr>
        <w:spacing w:line="360" w:lineRule="auto"/>
        <w:jc w:val="both"/>
        <w:rPr>
          <w:rFonts w:ascii="Garamond" w:hAnsi="Garamond"/>
          <w:sz w:val="24"/>
          <w:szCs w:val="24"/>
        </w:rPr>
      </w:pPr>
      <w:r>
        <w:rPr>
          <w:rFonts w:ascii="Garamond" w:hAnsi="Garamond"/>
          <w:sz w:val="24"/>
          <w:szCs w:val="24"/>
        </w:rPr>
        <w:t>La fo</w:t>
      </w:r>
      <w:r w:rsidR="008D040C">
        <w:rPr>
          <w:rFonts w:ascii="Garamond" w:hAnsi="Garamond"/>
          <w:sz w:val="24"/>
          <w:szCs w:val="24"/>
        </w:rPr>
        <w:t>rnitura</w:t>
      </w:r>
      <w:r w:rsidR="00FF47C0">
        <w:rPr>
          <w:rFonts w:ascii="Garamond" w:hAnsi="Garamond"/>
          <w:sz w:val="24"/>
          <w:szCs w:val="24"/>
        </w:rPr>
        <w:t>,</w:t>
      </w:r>
      <w:r w:rsidR="008D040C">
        <w:rPr>
          <w:rFonts w:ascii="Garamond" w:hAnsi="Garamond"/>
          <w:sz w:val="24"/>
          <w:szCs w:val="24"/>
        </w:rPr>
        <w:t xml:space="preserve"> </w:t>
      </w:r>
      <w:r w:rsidR="003E2E4F">
        <w:rPr>
          <w:rFonts w:ascii="Garamond" w:hAnsi="Garamond"/>
          <w:sz w:val="24"/>
          <w:szCs w:val="24"/>
        </w:rPr>
        <w:t>a</w:t>
      </w:r>
      <w:r w:rsidR="008D040C">
        <w:rPr>
          <w:rFonts w:ascii="Garamond" w:hAnsi="Garamond"/>
          <w:sz w:val="24"/>
          <w:szCs w:val="24"/>
        </w:rPr>
        <w:t>d esecuzione periodica</w:t>
      </w:r>
      <w:r w:rsidR="00FF47C0">
        <w:rPr>
          <w:rFonts w:ascii="Garamond" w:hAnsi="Garamond"/>
          <w:sz w:val="24"/>
          <w:szCs w:val="24"/>
        </w:rPr>
        <w:t>,</w:t>
      </w:r>
      <w:r w:rsidR="008D040C">
        <w:rPr>
          <w:rFonts w:ascii="Garamond" w:hAnsi="Garamond"/>
          <w:sz w:val="24"/>
          <w:szCs w:val="24"/>
        </w:rPr>
        <w:t xml:space="preserve"> è riferita</w:t>
      </w:r>
      <w:r w:rsidR="00895301">
        <w:rPr>
          <w:rFonts w:ascii="Garamond" w:hAnsi="Garamond"/>
          <w:sz w:val="24"/>
          <w:szCs w:val="24"/>
        </w:rPr>
        <w:t xml:space="preserve"> pertanto ai prodott</w:t>
      </w:r>
      <w:r w:rsidR="00FF47C0">
        <w:rPr>
          <w:rFonts w:ascii="Garamond" w:hAnsi="Garamond"/>
          <w:sz w:val="24"/>
          <w:szCs w:val="24"/>
        </w:rPr>
        <w:t>i ascrivibili alle categorie dei generi alimentari utilizzati nella ristorazione scolastica.</w:t>
      </w:r>
    </w:p>
    <w:p w:rsidR="00BB0A15" w:rsidRDefault="00942A05" w:rsidP="00942A05">
      <w:pPr>
        <w:spacing w:line="360" w:lineRule="auto"/>
        <w:jc w:val="both"/>
        <w:rPr>
          <w:rFonts w:ascii="Garamond" w:hAnsi="Garamond"/>
          <w:sz w:val="24"/>
          <w:szCs w:val="24"/>
        </w:rPr>
      </w:pPr>
      <w:r w:rsidRPr="00942A05">
        <w:rPr>
          <w:rFonts w:ascii="Garamond" w:hAnsi="Garamond"/>
          <w:sz w:val="24"/>
          <w:szCs w:val="24"/>
        </w:rPr>
        <w:t xml:space="preserve">L’appalto </w:t>
      </w:r>
      <w:r w:rsidR="00BE4FFE">
        <w:rPr>
          <w:rFonts w:ascii="Garamond" w:hAnsi="Garamond"/>
          <w:sz w:val="24"/>
          <w:szCs w:val="24"/>
        </w:rPr>
        <w:t>viene</w:t>
      </w:r>
      <w:r w:rsidRPr="00942A05">
        <w:rPr>
          <w:rFonts w:ascii="Garamond" w:hAnsi="Garamond"/>
          <w:sz w:val="24"/>
          <w:szCs w:val="24"/>
        </w:rPr>
        <w:t xml:space="preserve"> costituito </w:t>
      </w:r>
      <w:r w:rsidR="00FF47C0">
        <w:rPr>
          <w:rFonts w:ascii="Garamond" w:hAnsi="Garamond"/>
          <w:sz w:val="24"/>
          <w:szCs w:val="24"/>
        </w:rPr>
        <w:t>in dieci diversi lotti</w:t>
      </w:r>
      <w:r w:rsidR="00685E7A">
        <w:rPr>
          <w:rFonts w:ascii="Garamond" w:hAnsi="Garamond"/>
          <w:sz w:val="24"/>
          <w:szCs w:val="24"/>
        </w:rPr>
        <w:t>,</w:t>
      </w:r>
      <w:r w:rsidRPr="00942A05">
        <w:rPr>
          <w:rFonts w:ascii="Garamond" w:hAnsi="Garamond"/>
          <w:sz w:val="24"/>
          <w:szCs w:val="24"/>
        </w:rPr>
        <w:t xml:space="preserve"> </w:t>
      </w:r>
      <w:r w:rsidR="00FF47C0">
        <w:rPr>
          <w:rFonts w:ascii="Garamond" w:hAnsi="Garamond"/>
          <w:sz w:val="24"/>
          <w:szCs w:val="24"/>
        </w:rPr>
        <w:t>suddivisi tra generi biologici e convenzionali e, all’interno di ciascuna di queste categorie, in ulteriori sottocategorie al fine di garantire la massima partecipazione degli operatori economici presenti nel mercato</w:t>
      </w:r>
      <w:r w:rsidR="00BB0A15">
        <w:rPr>
          <w:rFonts w:ascii="Garamond" w:hAnsi="Garamond"/>
          <w:sz w:val="24"/>
          <w:szCs w:val="24"/>
        </w:rPr>
        <w:t xml:space="preserve"> secondo la ratio dell’art. 51 del Codice Appalti.</w:t>
      </w:r>
    </w:p>
    <w:p w:rsidR="00FF47C0" w:rsidRDefault="00BB0A15" w:rsidP="00942A05">
      <w:pPr>
        <w:spacing w:line="360" w:lineRule="auto"/>
        <w:jc w:val="both"/>
        <w:rPr>
          <w:rFonts w:ascii="Garamond" w:hAnsi="Garamond"/>
          <w:sz w:val="24"/>
          <w:szCs w:val="24"/>
        </w:rPr>
      </w:pPr>
      <w:r>
        <w:rPr>
          <w:rFonts w:ascii="Garamond" w:hAnsi="Garamond"/>
          <w:sz w:val="24"/>
          <w:szCs w:val="24"/>
        </w:rPr>
        <w:lastRenderedPageBreak/>
        <w:t>Di seguito la descrizione dei lotti:</w:t>
      </w:r>
    </w:p>
    <w:tbl>
      <w:tblPr>
        <w:tblW w:w="5000"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104"/>
        <w:gridCol w:w="1983"/>
        <w:gridCol w:w="2693"/>
      </w:tblGrid>
      <w:tr w:rsidR="00BE4FFE" w:rsidRPr="00BE4FFE" w:rsidTr="008E4D8E">
        <w:trPr>
          <w:cantSplit/>
          <w:trHeight w:val="680"/>
        </w:trPr>
        <w:tc>
          <w:tcPr>
            <w:tcW w:w="260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E4FFE" w:rsidRPr="00BB0A15" w:rsidRDefault="00BE4FFE" w:rsidP="008E4D8E">
            <w:pPr>
              <w:keepNext/>
              <w:jc w:val="center"/>
              <w:rPr>
                <w:rFonts w:ascii="Garamond" w:hAnsi="Garamond"/>
                <w:b/>
              </w:rPr>
            </w:pPr>
            <w:r w:rsidRPr="00BB0A15">
              <w:rPr>
                <w:rFonts w:ascii="Garamond" w:hAnsi="Garamond"/>
                <w:b/>
              </w:rPr>
              <w:t>Descrizione beni</w:t>
            </w:r>
          </w:p>
        </w:tc>
        <w:tc>
          <w:tcPr>
            <w:tcW w:w="1014" w:type="pct"/>
            <w:tcBorders>
              <w:top w:val="single" w:sz="6" w:space="0" w:color="auto"/>
              <w:left w:val="single" w:sz="6" w:space="0" w:color="auto"/>
              <w:right w:val="single" w:sz="6" w:space="0" w:color="auto"/>
            </w:tcBorders>
            <w:shd w:val="clear" w:color="auto" w:fill="D9D9D9" w:themeFill="background1" w:themeFillShade="D9"/>
            <w:vAlign w:val="center"/>
          </w:tcPr>
          <w:p w:rsidR="00BE4FFE" w:rsidRPr="00BB0A15" w:rsidRDefault="00BE4FFE" w:rsidP="008E4D8E">
            <w:pPr>
              <w:keepNext/>
              <w:jc w:val="center"/>
              <w:rPr>
                <w:rFonts w:ascii="Garamond" w:hAnsi="Garamond"/>
                <w:b/>
              </w:rPr>
            </w:pPr>
            <w:r w:rsidRPr="00BB0A15">
              <w:rPr>
                <w:rFonts w:ascii="Garamond" w:hAnsi="Garamond"/>
                <w:b/>
              </w:rPr>
              <w:t>CPV</w:t>
            </w:r>
          </w:p>
        </w:tc>
        <w:tc>
          <w:tcPr>
            <w:tcW w:w="1377" w:type="pct"/>
            <w:tcBorders>
              <w:top w:val="single" w:sz="6" w:space="0" w:color="auto"/>
              <w:left w:val="single" w:sz="6" w:space="0" w:color="auto"/>
              <w:right w:val="single" w:sz="6" w:space="0" w:color="auto"/>
            </w:tcBorders>
            <w:shd w:val="clear" w:color="auto" w:fill="D9D9D9" w:themeFill="background1" w:themeFillShade="D9"/>
            <w:vAlign w:val="center"/>
          </w:tcPr>
          <w:p w:rsidR="00BE4FFE" w:rsidRPr="00BB0A15" w:rsidRDefault="00BE4FFE" w:rsidP="008E4D8E">
            <w:pPr>
              <w:keepNext/>
              <w:jc w:val="center"/>
              <w:rPr>
                <w:rFonts w:ascii="Garamond" w:hAnsi="Garamond"/>
                <w:b/>
              </w:rPr>
            </w:pPr>
            <w:r w:rsidRPr="00BB0A15">
              <w:rPr>
                <w:rFonts w:ascii="Garamond" w:hAnsi="Garamond"/>
                <w:b/>
              </w:rPr>
              <w:t>Importo</w:t>
            </w:r>
          </w:p>
        </w:tc>
      </w:tr>
      <w:tr w:rsidR="00BE4FFE" w:rsidRPr="00BE4FFE" w:rsidTr="008E4D8E">
        <w:trPr>
          <w:trHeight w:val="226"/>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1: Carni avicole fresche e surgelate – Uova fresche</w:t>
            </w: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15112000-6</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€ 82.390,00</w:t>
            </w:r>
          </w:p>
        </w:tc>
      </w:tr>
      <w:tr w:rsidR="00BE4FFE" w:rsidRPr="00BE4FFE" w:rsidTr="008E4D8E">
        <w:trPr>
          <w:trHeight w:val="226"/>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2: Carne bovina fresca</w:t>
            </w: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15111100-0</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€ 35.370,00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3: Prodotti surgelati</w:t>
            </w: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15331170-9</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€ 46.080,00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4: Prodotti ortofrutticoli freschi</w:t>
            </w:r>
          </w:p>
          <w:p w:rsidR="00BE4FFE" w:rsidRPr="00BE4FFE" w:rsidRDefault="00BE4FFE" w:rsidP="008E4D8E">
            <w:pPr>
              <w:pStyle w:val="Titolo11"/>
              <w:ind w:left="0" w:right="79"/>
              <w:rPr>
                <w:rFonts w:ascii="Garamond" w:hAnsi="Garamond"/>
                <w:b w:val="0"/>
                <w:lang w:val="it-IT"/>
              </w:rPr>
            </w:pP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15300000-0</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€ 275.610,00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5: Generi vari</w:t>
            </w: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15890000-3</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€ 110.450,00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6: Latte e derivati</w:t>
            </w:r>
          </w:p>
          <w:p w:rsidR="00BE4FFE" w:rsidRPr="00BE4FFE" w:rsidRDefault="00BE4FFE" w:rsidP="008E4D8E">
            <w:pPr>
              <w:pStyle w:val="Titolo11"/>
              <w:ind w:right="79"/>
              <w:rPr>
                <w:rFonts w:ascii="Garamond" w:hAnsi="Garamond"/>
                <w:b w:val="0"/>
                <w:lang w:val="it-IT"/>
              </w:rPr>
            </w:pP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15550000-8</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€202.180,00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7: Prodotti vari non biologici</w:t>
            </w:r>
          </w:p>
          <w:p w:rsidR="00BE4FFE" w:rsidRPr="00BE4FFE" w:rsidRDefault="00BE4FFE" w:rsidP="008E4D8E">
            <w:pPr>
              <w:pStyle w:val="Titolo11"/>
              <w:ind w:right="79"/>
              <w:rPr>
                <w:rFonts w:ascii="Garamond" w:hAnsi="Garamond"/>
                <w:b w:val="0"/>
                <w:lang w:val="it-IT"/>
              </w:rPr>
            </w:pP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15110000-2</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€269.700,00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8: Pane (destinato agli asili nido di Venezia – centro storico e Giudecca)</w:t>
            </w:r>
          </w:p>
          <w:p w:rsidR="00BE4FFE" w:rsidRPr="00BE4FFE" w:rsidRDefault="00BE4FFE" w:rsidP="008E4D8E">
            <w:pPr>
              <w:pStyle w:val="Titolo11"/>
              <w:ind w:right="79"/>
              <w:rPr>
                <w:rFonts w:ascii="Garamond" w:hAnsi="Garamond"/>
                <w:b w:val="0"/>
                <w:lang w:val="it-IT"/>
              </w:rPr>
            </w:pP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rPr>
            </w:pPr>
            <w:r w:rsidRPr="00BE4FFE">
              <w:rPr>
                <w:rFonts w:ascii="Garamond" w:hAnsi="Garamond"/>
              </w:rPr>
              <w:t>15811100-7</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€29.590,00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9: Pane (destinato agli asili nido di Venezia – terraferma)</w:t>
            </w: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jc w:val="center"/>
              <w:rPr>
                <w:rFonts w:ascii="Garamond" w:hAnsi="Garamond"/>
              </w:rPr>
            </w:pPr>
            <w:r w:rsidRPr="00BE4FFE">
              <w:rPr>
                <w:rFonts w:ascii="Garamond" w:hAnsi="Garamond"/>
              </w:rPr>
              <w:t>15811100-7</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€ 67.180,00</w:t>
            </w:r>
          </w:p>
        </w:tc>
      </w:tr>
      <w:tr w:rsidR="00BE4FFE" w:rsidRPr="00BE4FFE" w:rsidTr="008E4D8E">
        <w:trPr>
          <w:trHeight w:val="624"/>
        </w:trPr>
        <w:tc>
          <w:tcPr>
            <w:tcW w:w="2609"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pStyle w:val="Titolo11"/>
              <w:ind w:right="79"/>
              <w:rPr>
                <w:rFonts w:ascii="Garamond" w:hAnsi="Garamond"/>
                <w:b w:val="0"/>
                <w:lang w:val="it-IT"/>
              </w:rPr>
            </w:pPr>
            <w:r w:rsidRPr="00BE4FFE">
              <w:rPr>
                <w:rFonts w:ascii="Garamond" w:hAnsi="Garamond"/>
                <w:b w:val="0"/>
                <w:lang w:val="it-IT"/>
              </w:rPr>
              <w:t>Lotto 10: Pane (destinato agli asili nido di Venezia – Lido e Pellestrina)</w:t>
            </w:r>
          </w:p>
          <w:p w:rsidR="00BE4FFE" w:rsidRPr="00BE4FFE" w:rsidRDefault="00BE4FFE" w:rsidP="008E4D8E">
            <w:pPr>
              <w:pStyle w:val="Titolo11"/>
              <w:ind w:right="79"/>
              <w:rPr>
                <w:rFonts w:ascii="Garamond" w:hAnsi="Garamond"/>
                <w:b w:val="0"/>
                <w:lang w:val="it-IT"/>
              </w:rPr>
            </w:pPr>
          </w:p>
        </w:tc>
        <w:tc>
          <w:tcPr>
            <w:tcW w:w="1014"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jc w:val="center"/>
              <w:rPr>
                <w:rFonts w:ascii="Garamond" w:hAnsi="Garamond"/>
              </w:rPr>
            </w:pPr>
            <w:r w:rsidRPr="00BE4FFE">
              <w:rPr>
                <w:rFonts w:ascii="Garamond" w:hAnsi="Garamond"/>
              </w:rPr>
              <w:t>15811100-7</w:t>
            </w:r>
          </w:p>
        </w:tc>
        <w:tc>
          <w:tcPr>
            <w:tcW w:w="1377" w:type="pct"/>
            <w:tcBorders>
              <w:top w:val="single" w:sz="4" w:space="0" w:color="auto"/>
              <w:left w:val="single" w:sz="4" w:space="0" w:color="auto"/>
              <w:bottom w:val="single" w:sz="4" w:space="0" w:color="auto"/>
              <w:right w:val="single" w:sz="4" w:space="0" w:color="auto"/>
            </w:tcBorders>
            <w:vAlign w:val="center"/>
          </w:tcPr>
          <w:p w:rsidR="00BE4FFE" w:rsidRPr="00BE4FFE" w:rsidRDefault="00BE4FFE" w:rsidP="008E4D8E">
            <w:pPr>
              <w:keepNext/>
              <w:spacing w:before="60" w:after="60"/>
              <w:jc w:val="center"/>
              <w:rPr>
                <w:rFonts w:ascii="Garamond" w:hAnsi="Garamond"/>
                <w:i/>
              </w:rPr>
            </w:pPr>
            <w:r w:rsidRPr="00BE4FFE">
              <w:rPr>
                <w:rFonts w:ascii="Garamond" w:hAnsi="Garamond"/>
              </w:rPr>
              <w:t>€ 6.490,00</w:t>
            </w:r>
          </w:p>
        </w:tc>
      </w:tr>
    </w:tbl>
    <w:p w:rsidR="00BE4FFE" w:rsidRDefault="00BE4FFE" w:rsidP="00942A05">
      <w:pPr>
        <w:spacing w:line="360" w:lineRule="auto"/>
        <w:jc w:val="both"/>
        <w:rPr>
          <w:rFonts w:ascii="Garamond" w:hAnsi="Garamond"/>
          <w:sz w:val="24"/>
          <w:szCs w:val="24"/>
        </w:rPr>
      </w:pPr>
    </w:p>
    <w:p w:rsidR="00205EDE" w:rsidRDefault="00D80E6F" w:rsidP="00340D95">
      <w:pPr>
        <w:spacing w:line="360" w:lineRule="auto"/>
        <w:jc w:val="both"/>
        <w:rPr>
          <w:rFonts w:ascii="Garamond" w:hAnsi="Garamond"/>
          <w:sz w:val="24"/>
          <w:szCs w:val="24"/>
        </w:rPr>
      </w:pPr>
      <w:r>
        <w:rPr>
          <w:rFonts w:ascii="Garamond" w:hAnsi="Garamond"/>
          <w:sz w:val="24"/>
          <w:szCs w:val="24"/>
        </w:rPr>
        <w:t xml:space="preserve">La durata dell’appalto è di </w:t>
      </w:r>
      <w:r w:rsidR="00BB0A15">
        <w:rPr>
          <w:rFonts w:ascii="Garamond" w:hAnsi="Garamond"/>
          <w:sz w:val="24"/>
          <w:szCs w:val="24"/>
        </w:rPr>
        <w:t xml:space="preserve">23 mesi a partire da settembre 2019 fino al 31 luglio 2021, </w:t>
      </w:r>
      <w:r>
        <w:rPr>
          <w:rFonts w:ascii="Garamond" w:hAnsi="Garamond"/>
          <w:sz w:val="24"/>
          <w:szCs w:val="24"/>
        </w:rPr>
        <w:t>senza possibilità di rinnovo. La durata del contratto potrà essere modificata per il tempo strettamente necessario alla conclusione delle procedure per l’individuazione del nuovo contraente ai sensi dell’articolo 106, comma 11, del Codice</w:t>
      </w:r>
      <w:r w:rsidR="00205EDE">
        <w:rPr>
          <w:rFonts w:ascii="Garamond" w:hAnsi="Garamond"/>
          <w:sz w:val="24"/>
          <w:szCs w:val="24"/>
        </w:rPr>
        <w:t xml:space="preserve"> e per un periodo non superiore a sei mesi. In tal caso il contraente sarà tenuto all’esecuzione delle prestazioni oggetto dell’appalto agli stessi – o più favorevoli – prezzi, patti o condizioni. </w:t>
      </w:r>
    </w:p>
    <w:p w:rsidR="00BB0A15" w:rsidRDefault="00205EDE" w:rsidP="00340D95">
      <w:pPr>
        <w:spacing w:line="360" w:lineRule="auto"/>
        <w:jc w:val="both"/>
        <w:rPr>
          <w:rFonts w:ascii="Garamond" w:hAnsi="Garamond"/>
          <w:b/>
          <w:sz w:val="24"/>
          <w:szCs w:val="24"/>
        </w:rPr>
      </w:pPr>
      <w:r>
        <w:rPr>
          <w:rFonts w:ascii="Garamond" w:hAnsi="Garamond"/>
          <w:sz w:val="24"/>
          <w:szCs w:val="24"/>
        </w:rPr>
        <w:t>Il valore dell’appalto per l’intero periodo contrattuale</w:t>
      </w:r>
      <w:r w:rsidR="00924279">
        <w:rPr>
          <w:rFonts w:ascii="Garamond" w:hAnsi="Garamond"/>
          <w:sz w:val="24"/>
          <w:szCs w:val="24"/>
        </w:rPr>
        <w:t>, posto a base di gara,</w:t>
      </w:r>
      <w:r>
        <w:rPr>
          <w:rFonts w:ascii="Garamond" w:hAnsi="Garamond"/>
          <w:sz w:val="24"/>
          <w:szCs w:val="24"/>
        </w:rPr>
        <w:t xml:space="preserve"> è stimato in</w:t>
      </w:r>
      <w:r w:rsidRPr="00942A05">
        <w:rPr>
          <w:rFonts w:ascii="Garamond" w:hAnsi="Garamond"/>
          <w:b/>
          <w:sz w:val="24"/>
          <w:szCs w:val="24"/>
        </w:rPr>
        <w:t xml:space="preserve"> € </w:t>
      </w:r>
      <w:r w:rsidR="00BB0A15">
        <w:rPr>
          <w:rFonts w:ascii="Garamond" w:hAnsi="Garamond"/>
          <w:b/>
          <w:sz w:val="24"/>
          <w:szCs w:val="24"/>
        </w:rPr>
        <w:t>1.125.040,00</w:t>
      </w:r>
    </w:p>
    <w:p w:rsidR="00BB0A15" w:rsidRDefault="00205EDE" w:rsidP="00340D95">
      <w:pPr>
        <w:spacing w:line="360" w:lineRule="auto"/>
        <w:jc w:val="both"/>
        <w:rPr>
          <w:rFonts w:ascii="Garamond" w:hAnsi="Garamond"/>
          <w:sz w:val="24"/>
          <w:szCs w:val="24"/>
        </w:rPr>
      </w:pPr>
      <w:r>
        <w:rPr>
          <w:rFonts w:ascii="Garamond" w:hAnsi="Garamond"/>
          <w:sz w:val="24"/>
          <w:szCs w:val="24"/>
        </w:rPr>
        <w:t xml:space="preserve">In considerazione del fatto che le prestazioni oggetto dell’appalto sono state necessariamente definite in via presuntiva, esse potranno variare in aumento, secondo le proprie necessità, o in diminuzione fino ad un quinto senza che l’aggiudicatario possa pretendere compensi o indennità di sorta, ovvero modifiche di condizioni contrattuali. </w:t>
      </w:r>
    </w:p>
    <w:p w:rsidR="00D80E6F" w:rsidRDefault="00205EDE" w:rsidP="00340D95">
      <w:pPr>
        <w:spacing w:line="360" w:lineRule="auto"/>
        <w:jc w:val="both"/>
        <w:rPr>
          <w:rFonts w:ascii="Garamond" w:hAnsi="Garamond"/>
          <w:sz w:val="24"/>
          <w:szCs w:val="24"/>
        </w:rPr>
      </w:pPr>
      <w:r>
        <w:rPr>
          <w:rFonts w:ascii="Garamond" w:hAnsi="Garamond"/>
          <w:sz w:val="24"/>
          <w:szCs w:val="24"/>
        </w:rPr>
        <w:t>Ai fini dell’articolo 35, comma</w:t>
      </w:r>
      <w:r w:rsidR="00685E7A">
        <w:rPr>
          <w:rFonts w:ascii="Garamond" w:hAnsi="Garamond"/>
          <w:sz w:val="24"/>
          <w:szCs w:val="24"/>
        </w:rPr>
        <w:t xml:space="preserve"> </w:t>
      </w:r>
      <w:r>
        <w:rPr>
          <w:rFonts w:ascii="Garamond" w:hAnsi="Garamond"/>
          <w:sz w:val="24"/>
          <w:szCs w:val="24"/>
        </w:rPr>
        <w:t xml:space="preserve">4, del codice il valore massimo stimato dell’appalto è pari </w:t>
      </w:r>
      <w:r w:rsidR="00D80E6F">
        <w:rPr>
          <w:rFonts w:ascii="Garamond" w:hAnsi="Garamond"/>
          <w:sz w:val="24"/>
          <w:szCs w:val="24"/>
        </w:rPr>
        <w:t xml:space="preserve"> </w:t>
      </w:r>
      <w:r>
        <w:rPr>
          <w:rFonts w:ascii="Garamond" w:hAnsi="Garamond"/>
          <w:sz w:val="24"/>
          <w:szCs w:val="24"/>
        </w:rPr>
        <w:t xml:space="preserve">ad € </w:t>
      </w:r>
      <w:r w:rsidR="00BB0A15">
        <w:rPr>
          <w:rFonts w:ascii="Garamond" w:hAnsi="Garamond"/>
          <w:sz w:val="24"/>
          <w:szCs w:val="24"/>
        </w:rPr>
        <w:t>1</w:t>
      </w:r>
      <w:r>
        <w:rPr>
          <w:rFonts w:ascii="Garamond" w:hAnsi="Garamond"/>
          <w:sz w:val="24"/>
          <w:szCs w:val="24"/>
        </w:rPr>
        <w:t>.</w:t>
      </w:r>
      <w:r w:rsidR="00BB0A15">
        <w:rPr>
          <w:rFonts w:ascii="Garamond" w:hAnsi="Garamond"/>
          <w:sz w:val="24"/>
          <w:szCs w:val="24"/>
        </w:rPr>
        <w:t>643</w:t>
      </w:r>
      <w:r>
        <w:rPr>
          <w:rFonts w:ascii="Garamond" w:hAnsi="Garamond"/>
          <w:sz w:val="24"/>
          <w:szCs w:val="24"/>
        </w:rPr>
        <w:t>.</w:t>
      </w:r>
      <w:r w:rsidR="00BB0A15">
        <w:rPr>
          <w:rFonts w:ascii="Garamond" w:hAnsi="Garamond"/>
          <w:sz w:val="24"/>
          <w:szCs w:val="24"/>
        </w:rPr>
        <w:t>537</w:t>
      </w:r>
      <w:r>
        <w:rPr>
          <w:rFonts w:ascii="Garamond" w:hAnsi="Garamond"/>
          <w:sz w:val="24"/>
          <w:szCs w:val="24"/>
        </w:rPr>
        <w:t>,00 al netto di IVA e/o di altre imposte e contributi di legge, così suddiviso:</w:t>
      </w:r>
    </w:p>
    <w:tbl>
      <w:tblPr>
        <w:tblW w:w="3465" w:type="pct"/>
        <w:jc w:val="center"/>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678"/>
        <w:gridCol w:w="2100"/>
      </w:tblGrid>
      <w:tr w:rsidR="00942A05" w:rsidRPr="00BB0A15" w:rsidTr="00942A05">
        <w:trPr>
          <w:cantSplit/>
          <w:trHeight w:val="454"/>
          <w:jc w:val="center"/>
        </w:trPr>
        <w:tc>
          <w:tcPr>
            <w:tcW w:w="3451" w:type="pct"/>
            <w:tcBorders>
              <w:top w:val="single" w:sz="6" w:space="0" w:color="auto"/>
              <w:left w:val="single" w:sz="6" w:space="0" w:color="auto"/>
              <w:bottom w:val="single" w:sz="4" w:space="0" w:color="auto"/>
              <w:right w:val="single" w:sz="6" w:space="0" w:color="auto"/>
            </w:tcBorders>
            <w:shd w:val="clear" w:color="auto" w:fill="00B0F0"/>
            <w:vAlign w:val="center"/>
            <w:hideMark/>
          </w:tcPr>
          <w:p w:rsidR="00942A05" w:rsidRPr="00BB0A15" w:rsidRDefault="00942A05" w:rsidP="00942A05">
            <w:pPr>
              <w:keepNext/>
              <w:spacing w:line="360" w:lineRule="auto"/>
              <w:rPr>
                <w:rFonts w:ascii="Garamond" w:hAnsi="Garamond"/>
                <w:b/>
                <w:sz w:val="24"/>
                <w:szCs w:val="24"/>
              </w:rPr>
            </w:pPr>
          </w:p>
        </w:tc>
        <w:tc>
          <w:tcPr>
            <w:tcW w:w="1549" w:type="pct"/>
            <w:tcBorders>
              <w:top w:val="single" w:sz="6" w:space="0" w:color="auto"/>
              <w:left w:val="single" w:sz="6" w:space="0" w:color="auto"/>
              <w:bottom w:val="single" w:sz="4" w:space="0" w:color="auto"/>
              <w:right w:val="single" w:sz="6" w:space="0" w:color="auto"/>
            </w:tcBorders>
            <w:shd w:val="clear" w:color="auto" w:fill="00B0F0"/>
            <w:vAlign w:val="center"/>
          </w:tcPr>
          <w:p w:rsidR="00942A05" w:rsidRPr="00BB0A15" w:rsidRDefault="00942A05" w:rsidP="00942A05">
            <w:pPr>
              <w:keepNext/>
              <w:spacing w:after="0"/>
              <w:jc w:val="center"/>
              <w:rPr>
                <w:rFonts w:ascii="Garamond" w:hAnsi="Garamond"/>
                <w:b/>
                <w:sz w:val="24"/>
                <w:szCs w:val="24"/>
              </w:rPr>
            </w:pPr>
            <w:r w:rsidRPr="00BB0A15">
              <w:rPr>
                <w:rFonts w:ascii="Garamond" w:hAnsi="Garamond"/>
                <w:b/>
                <w:sz w:val="24"/>
                <w:szCs w:val="24"/>
              </w:rPr>
              <w:t>Valore appalto</w:t>
            </w:r>
          </w:p>
        </w:tc>
      </w:tr>
      <w:tr w:rsidR="00942A05" w:rsidRPr="00BB0A15" w:rsidTr="00A0247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942A05" w:rsidRPr="00BB0A15" w:rsidRDefault="00942A05" w:rsidP="00BB0A15">
            <w:pPr>
              <w:rPr>
                <w:rFonts w:ascii="Garamond" w:hAnsi="Garamond"/>
                <w:i/>
                <w:sz w:val="24"/>
                <w:szCs w:val="24"/>
              </w:rPr>
            </w:pPr>
            <w:r w:rsidRPr="00BB0A15">
              <w:rPr>
                <w:rFonts w:ascii="Garamond" w:hAnsi="Garamond"/>
                <w:i/>
                <w:sz w:val="24"/>
                <w:szCs w:val="24"/>
              </w:rPr>
              <w:t xml:space="preserve">Importo stimato per il </w:t>
            </w:r>
            <w:r w:rsidR="00BB0A15">
              <w:rPr>
                <w:rFonts w:ascii="Garamond" w:hAnsi="Garamond"/>
                <w:i/>
                <w:sz w:val="24"/>
                <w:szCs w:val="24"/>
              </w:rPr>
              <w:t>biennio</w:t>
            </w:r>
          </w:p>
        </w:tc>
        <w:tc>
          <w:tcPr>
            <w:tcW w:w="1549" w:type="pct"/>
            <w:tcBorders>
              <w:top w:val="single" w:sz="4" w:space="0" w:color="auto"/>
              <w:left w:val="single" w:sz="4" w:space="0" w:color="auto"/>
              <w:bottom w:val="single" w:sz="4" w:space="0" w:color="auto"/>
              <w:right w:val="single" w:sz="4" w:space="0" w:color="auto"/>
            </w:tcBorders>
            <w:vAlign w:val="center"/>
          </w:tcPr>
          <w:p w:rsidR="00942A05" w:rsidRPr="00BB0A15" w:rsidRDefault="00BB0A15" w:rsidP="00A02477">
            <w:pPr>
              <w:keepNext/>
              <w:spacing w:before="60" w:after="60" w:line="240" w:lineRule="auto"/>
              <w:jc w:val="center"/>
              <w:rPr>
                <w:rFonts w:ascii="Garamond" w:hAnsi="Garamond"/>
                <w:i/>
                <w:sz w:val="24"/>
                <w:szCs w:val="24"/>
              </w:rPr>
            </w:pPr>
            <w:r>
              <w:rPr>
                <w:rFonts w:ascii="Garamond" w:hAnsi="Garamond"/>
                <w:i/>
                <w:sz w:val="24"/>
                <w:szCs w:val="24"/>
              </w:rPr>
              <w:t>1.125.040,00</w:t>
            </w:r>
          </w:p>
        </w:tc>
      </w:tr>
      <w:tr w:rsidR="00942A05" w:rsidRPr="00BB0A15" w:rsidTr="00A0247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942A05" w:rsidRPr="00BB0A15" w:rsidRDefault="00942A05" w:rsidP="00A02477">
            <w:pPr>
              <w:rPr>
                <w:rFonts w:ascii="Garamond" w:hAnsi="Garamond"/>
                <w:i/>
                <w:sz w:val="24"/>
                <w:szCs w:val="24"/>
              </w:rPr>
            </w:pPr>
            <w:r w:rsidRPr="00BB0A15">
              <w:rPr>
                <w:rFonts w:ascii="Garamond" w:hAnsi="Garamond"/>
                <w:i/>
                <w:sz w:val="24"/>
                <w:szCs w:val="24"/>
              </w:rPr>
              <w:t>Importo massimo varianti ex art. 106</w:t>
            </w:r>
          </w:p>
        </w:tc>
        <w:tc>
          <w:tcPr>
            <w:tcW w:w="1549" w:type="pct"/>
            <w:tcBorders>
              <w:top w:val="single" w:sz="4" w:space="0" w:color="auto"/>
              <w:left w:val="single" w:sz="4" w:space="0" w:color="auto"/>
              <w:bottom w:val="single" w:sz="4" w:space="0" w:color="auto"/>
              <w:right w:val="single" w:sz="4" w:space="0" w:color="auto"/>
            </w:tcBorders>
            <w:vAlign w:val="center"/>
          </w:tcPr>
          <w:p w:rsidR="00942A05" w:rsidRPr="00BB0A15" w:rsidRDefault="00583682" w:rsidP="00A02477">
            <w:pPr>
              <w:keepNext/>
              <w:spacing w:before="60" w:after="60" w:line="240" w:lineRule="auto"/>
              <w:jc w:val="center"/>
              <w:rPr>
                <w:rFonts w:ascii="Garamond" w:hAnsi="Garamond"/>
                <w:i/>
                <w:sz w:val="24"/>
                <w:szCs w:val="24"/>
              </w:rPr>
            </w:pPr>
            <w:r>
              <w:rPr>
                <w:rFonts w:ascii="Garamond" w:hAnsi="Garamond"/>
                <w:i/>
                <w:sz w:val="24"/>
                <w:szCs w:val="24"/>
              </w:rPr>
              <w:t xml:space="preserve">  225.008,00</w:t>
            </w:r>
          </w:p>
        </w:tc>
      </w:tr>
      <w:tr w:rsidR="00942A05" w:rsidRPr="00BB0A15" w:rsidTr="00A0247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942A05" w:rsidRPr="00BB0A15" w:rsidRDefault="00942A05" w:rsidP="00A02477">
            <w:pPr>
              <w:rPr>
                <w:rFonts w:ascii="Garamond" w:hAnsi="Garamond"/>
                <w:i/>
                <w:sz w:val="24"/>
                <w:szCs w:val="24"/>
              </w:rPr>
            </w:pPr>
            <w:r w:rsidRPr="00BB0A15">
              <w:rPr>
                <w:rFonts w:ascii="Garamond" w:hAnsi="Garamond"/>
                <w:i/>
                <w:sz w:val="24"/>
                <w:szCs w:val="24"/>
              </w:rPr>
              <w:t>Importo massimo stimato in caso di proroga tecnica</w:t>
            </w:r>
          </w:p>
        </w:tc>
        <w:tc>
          <w:tcPr>
            <w:tcW w:w="1549" w:type="pct"/>
            <w:tcBorders>
              <w:top w:val="single" w:sz="4" w:space="0" w:color="auto"/>
              <w:left w:val="single" w:sz="4" w:space="0" w:color="auto"/>
              <w:bottom w:val="single" w:sz="4" w:space="0" w:color="auto"/>
              <w:right w:val="single" w:sz="4" w:space="0" w:color="auto"/>
            </w:tcBorders>
            <w:vAlign w:val="center"/>
          </w:tcPr>
          <w:p w:rsidR="00942A05" w:rsidRPr="00BB0A15" w:rsidRDefault="00583682" w:rsidP="00924279">
            <w:pPr>
              <w:keepNext/>
              <w:spacing w:before="60" w:after="60" w:line="240" w:lineRule="auto"/>
              <w:jc w:val="center"/>
              <w:rPr>
                <w:rFonts w:ascii="Garamond" w:hAnsi="Garamond"/>
                <w:i/>
                <w:sz w:val="24"/>
                <w:szCs w:val="24"/>
              </w:rPr>
            </w:pPr>
            <w:r>
              <w:rPr>
                <w:rFonts w:ascii="Garamond" w:hAnsi="Garamond"/>
                <w:i/>
                <w:sz w:val="24"/>
                <w:szCs w:val="24"/>
              </w:rPr>
              <w:t xml:space="preserve">  293.489,00</w:t>
            </w:r>
          </w:p>
        </w:tc>
      </w:tr>
      <w:tr w:rsidR="00942A05" w:rsidRPr="00BB0A15" w:rsidTr="00A0247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942A05" w:rsidRPr="00BB0A15" w:rsidRDefault="00942A05" w:rsidP="00A02477">
            <w:pPr>
              <w:rPr>
                <w:rFonts w:ascii="Garamond" w:hAnsi="Garamond"/>
                <w:i/>
                <w:sz w:val="24"/>
                <w:szCs w:val="24"/>
              </w:rPr>
            </w:pPr>
            <w:r w:rsidRPr="00BB0A15">
              <w:rPr>
                <w:rFonts w:ascii="Garamond" w:hAnsi="Garamond"/>
                <w:i/>
                <w:sz w:val="24"/>
                <w:szCs w:val="24"/>
              </w:rPr>
              <w:t xml:space="preserve">VALORE MASSIMO STIMATO </w:t>
            </w:r>
          </w:p>
        </w:tc>
        <w:tc>
          <w:tcPr>
            <w:tcW w:w="1549" w:type="pct"/>
            <w:tcBorders>
              <w:top w:val="single" w:sz="4" w:space="0" w:color="auto"/>
              <w:left w:val="single" w:sz="4" w:space="0" w:color="auto"/>
              <w:bottom w:val="single" w:sz="4" w:space="0" w:color="auto"/>
              <w:right w:val="single" w:sz="4" w:space="0" w:color="auto"/>
            </w:tcBorders>
            <w:vAlign w:val="center"/>
          </w:tcPr>
          <w:p w:rsidR="00942A05" w:rsidRPr="00BB0A15" w:rsidRDefault="00583682" w:rsidP="00583682">
            <w:pPr>
              <w:keepNext/>
              <w:spacing w:before="60" w:after="60" w:line="240" w:lineRule="auto"/>
              <w:jc w:val="center"/>
              <w:rPr>
                <w:rFonts w:ascii="Garamond" w:hAnsi="Garamond"/>
                <w:b/>
                <w:i/>
                <w:sz w:val="24"/>
                <w:szCs w:val="24"/>
              </w:rPr>
            </w:pPr>
            <w:r>
              <w:rPr>
                <w:rFonts w:ascii="Garamond" w:hAnsi="Garamond"/>
                <w:b/>
                <w:i/>
                <w:sz w:val="24"/>
                <w:szCs w:val="24"/>
              </w:rPr>
              <w:t>1</w:t>
            </w:r>
            <w:r w:rsidR="00942A05" w:rsidRPr="00BB0A15">
              <w:rPr>
                <w:rFonts w:ascii="Garamond" w:hAnsi="Garamond"/>
                <w:b/>
                <w:i/>
                <w:sz w:val="24"/>
                <w:szCs w:val="24"/>
              </w:rPr>
              <w:t>.</w:t>
            </w:r>
            <w:r>
              <w:rPr>
                <w:rFonts w:ascii="Garamond" w:hAnsi="Garamond"/>
                <w:b/>
                <w:i/>
                <w:sz w:val="24"/>
                <w:szCs w:val="24"/>
              </w:rPr>
              <w:t>643</w:t>
            </w:r>
            <w:r w:rsidR="00942A05" w:rsidRPr="00BB0A15">
              <w:rPr>
                <w:rFonts w:ascii="Garamond" w:hAnsi="Garamond"/>
                <w:b/>
                <w:i/>
                <w:sz w:val="24"/>
                <w:szCs w:val="24"/>
              </w:rPr>
              <w:t>.</w:t>
            </w:r>
            <w:r>
              <w:rPr>
                <w:rFonts w:ascii="Garamond" w:hAnsi="Garamond"/>
                <w:b/>
                <w:i/>
                <w:sz w:val="24"/>
                <w:szCs w:val="24"/>
              </w:rPr>
              <w:t>537</w:t>
            </w:r>
            <w:r w:rsidR="00942A05" w:rsidRPr="00BB0A15">
              <w:rPr>
                <w:rFonts w:ascii="Garamond" w:hAnsi="Garamond"/>
                <w:b/>
                <w:i/>
                <w:sz w:val="24"/>
                <w:szCs w:val="24"/>
              </w:rPr>
              <w:t>,00</w:t>
            </w:r>
          </w:p>
        </w:tc>
      </w:tr>
    </w:tbl>
    <w:p w:rsidR="00205EDE" w:rsidRDefault="00205EDE" w:rsidP="00340D95">
      <w:pPr>
        <w:spacing w:line="360" w:lineRule="auto"/>
        <w:jc w:val="both"/>
        <w:rPr>
          <w:rFonts w:ascii="Garamond" w:hAnsi="Garamond"/>
          <w:sz w:val="24"/>
          <w:szCs w:val="24"/>
        </w:rPr>
      </w:pPr>
    </w:p>
    <w:p w:rsidR="00F02E75" w:rsidRDefault="00AF303C" w:rsidP="00340D95">
      <w:pPr>
        <w:spacing w:line="360" w:lineRule="auto"/>
        <w:jc w:val="both"/>
        <w:rPr>
          <w:rFonts w:ascii="Garamond" w:hAnsi="Garamond"/>
          <w:sz w:val="24"/>
          <w:szCs w:val="24"/>
        </w:rPr>
      </w:pPr>
      <w:r w:rsidRPr="00340D95">
        <w:rPr>
          <w:rFonts w:ascii="Garamond" w:hAnsi="Garamond"/>
          <w:sz w:val="24"/>
          <w:szCs w:val="24"/>
        </w:rPr>
        <w:t xml:space="preserve">Il valore dell’appalto è stato determinato </w:t>
      </w:r>
      <w:r w:rsidR="00340D95" w:rsidRPr="00340D95">
        <w:rPr>
          <w:rFonts w:ascii="Garamond" w:hAnsi="Garamond"/>
          <w:sz w:val="24"/>
          <w:szCs w:val="24"/>
        </w:rPr>
        <w:t>a seguito delle ope</w:t>
      </w:r>
      <w:r w:rsidR="00583682">
        <w:rPr>
          <w:rFonts w:ascii="Garamond" w:hAnsi="Garamond"/>
          <w:sz w:val="24"/>
          <w:szCs w:val="24"/>
        </w:rPr>
        <w:t xml:space="preserve">razioni di indagine di mercato </w:t>
      </w:r>
      <w:r w:rsidR="00340D95" w:rsidRPr="00340D95">
        <w:rPr>
          <w:rFonts w:ascii="Garamond" w:hAnsi="Garamond"/>
          <w:sz w:val="24"/>
          <w:szCs w:val="24"/>
        </w:rPr>
        <w:t xml:space="preserve">per ogni </w:t>
      </w:r>
      <w:r w:rsidR="00340D95">
        <w:rPr>
          <w:rFonts w:ascii="Garamond" w:hAnsi="Garamond"/>
          <w:sz w:val="24"/>
          <w:szCs w:val="24"/>
        </w:rPr>
        <w:t>prodotto</w:t>
      </w:r>
      <w:r w:rsidR="00340D95" w:rsidRPr="00340D95">
        <w:rPr>
          <w:rFonts w:ascii="Garamond" w:hAnsi="Garamond"/>
          <w:sz w:val="24"/>
          <w:szCs w:val="24"/>
        </w:rPr>
        <w:t xml:space="preserve"> offerto. I valori forniti sono stati poi selezionati e aggregati</w:t>
      </w:r>
      <w:r w:rsidR="00340D95">
        <w:rPr>
          <w:rFonts w:ascii="Garamond" w:hAnsi="Garamond"/>
          <w:sz w:val="24"/>
          <w:szCs w:val="24"/>
        </w:rPr>
        <w:t>.</w:t>
      </w:r>
    </w:p>
    <w:p w:rsidR="00340D95" w:rsidRDefault="00340D95" w:rsidP="00340D95">
      <w:pPr>
        <w:spacing w:line="360" w:lineRule="auto"/>
        <w:jc w:val="both"/>
        <w:rPr>
          <w:rFonts w:ascii="Garamond" w:hAnsi="Garamond"/>
          <w:sz w:val="24"/>
          <w:szCs w:val="24"/>
        </w:rPr>
      </w:pPr>
      <w:r>
        <w:rPr>
          <w:rFonts w:ascii="Garamond" w:hAnsi="Garamond"/>
          <w:sz w:val="24"/>
          <w:szCs w:val="24"/>
        </w:rPr>
        <w:t xml:space="preserve">Il </w:t>
      </w:r>
      <w:r w:rsidRPr="00340D95">
        <w:rPr>
          <w:rFonts w:ascii="Garamond" w:hAnsi="Garamond"/>
          <w:b/>
          <w:sz w:val="24"/>
          <w:szCs w:val="24"/>
        </w:rPr>
        <w:t>criterio di aggiudicazione</w:t>
      </w:r>
      <w:r>
        <w:rPr>
          <w:rFonts w:ascii="Garamond" w:hAnsi="Garamond"/>
          <w:sz w:val="24"/>
          <w:szCs w:val="24"/>
        </w:rPr>
        <w:t xml:space="preserve"> è stato individuato nell’offerta economicamente più vantaggiosa ai sensi dell’articolo 9</w:t>
      </w:r>
      <w:r w:rsidR="008E5166">
        <w:rPr>
          <w:rFonts w:ascii="Garamond" w:hAnsi="Garamond"/>
          <w:sz w:val="24"/>
          <w:szCs w:val="24"/>
        </w:rPr>
        <w:t>5 del Codice sulla base del metodo che sarà indicato nel disciplinare di gara nel rispetto delle linee guida ANAC.</w:t>
      </w:r>
    </w:p>
    <w:p w:rsidR="008E5166" w:rsidRDefault="008E5166" w:rsidP="00340D95">
      <w:pPr>
        <w:spacing w:line="360" w:lineRule="auto"/>
        <w:jc w:val="both"/>
        <w:rPr>
          <w:rFonts w:ascii="Garamond" w:hAnsi="Garamond"/>
          <w:sz w:val="24"/>
          <w:szCs w:val="24"/>
        </w:rPr>
      </w:pPr>
      <w:r>
        <w:rPr>
          <w:rFonts w:ascii="Garamond" w:hAnsi="Garamond"/>
          <w:sz w:val="24"/>
          <w:szCs w:val="24"/>
        </w:rPr>
        <w:t>I criteri di valutazione</w:t>
      </w:r>
      <w:r w:rsidR="00583682" w:rsidRPr="00583682">
        <w:rPr>
          <w:rFonts w:ascii="Garamond" w:hAnsi="Garamond"/>
          <w:sz w:val="24"/>
          <w:szCs w:val="24"/>
        </w:rPr>
        <w:t xml:space="preserve"> </w:t>
      </w:r>
      <w:r w:rsidR="00583682">
        <w:rPr>
          <w:rFonts w:ascii="Garamond" w:hAnsi="Garamond"/>
          <w:sz w:val="24"/>
          <w:szCs w:val="24"/>
        </w:rPr>
        <w:t>dell’offerta tecnica per i lotti 1, 2, 3, 4, 5, 6 e 7</w:t>
      </w:r>
      <w:r>
        <w:rPr>
          <w:rFonts w:ascii="Garamond" w:hAnsi="Garamond"/>
          <w:sz w:val="24"/>
          <w:szCs w:val="24"/>
        </w:rPr>
        <w:t xml:space="preserve"> privilegeranno i seguenti punti:</w:t>
      </w:r>
    </w:p>
    <w:p w:rsidR="00583682" w:rsidRPr="00583682" w:rsidRDefault="00583682" w:rsidP="001A141B">
      <w:pPr>
        <w:numPr>
          <w:ilvl w:val="0"/>
          <w:numId w:val="11"/>
        </w:numPr>
        <w:spacing w:after="0" w:line="360" w:lineRule="auto"/>
        <w:jc w:val="both"/>
        <w:rPr>
          <w:rFonts w:ascii="Garamond" w:hAnsi="Garamond"/>
          <w:b/>
          <w:sz w:val="24"/>
          <w:szCs w:val="24"/>
        </w:rPr>
      </w:pPr>
      <w:r w:rsidRPr="00583682">
        <w:rPr>
          <w:rFonts w:ascii="Garamond" w:hAnsi="Garamond"/>
          <w:b/>
          <w:sz w:val="24"/>
          <w:szCs w:val="24"/>
        </w:rPr>
        <w:t>Elementi attinenti la fornitura delle derrate alimentari</w:t>
      </w:r>
    </w:p>
    <w:p w:rsidR="00583682" w:rsidRPr="00583682" w:rsidRDefault="00583682" w:rsidP="001A141B">
      <w:pPr>
        <w:numPr>
          <w:ilvl w:val="1"/>
          <w:numId w:val="10"/>
        </w:numPr>
        <w:spacing w:after="0" w:line="360" w:lineRule="auto"/>
        <w:jc w:val="both"/>
        <w:rPr>
          <w:rFonts w:ascii="Garamond" w:hAnsi="Garamond"/>
          <w:sz w:val="24"/>
          <w:szCs w:val="24"/>
        </w:rPr>
      </w:pPr>
      <w:r w:rsidRPr="00583682">
        <w:rPr>
          <w:rFonts w:ascii="Garamond" w:hAnsi="Garamond"/>
          <w:sz w:val="24"/>
          <w:szCs w:val="24"/>
        </w:rPr>
        <w:t>I criteri di selezione e valutazione dei fornitori impegnati, le modalità di gestione dei reclami e delle non conformità di prodotto/processo, con le relative azioni preventive/correttive, il rapporto che intercorre con i fornitori (rapporto diretto, piattaforma di proprietà esterna, ecc.) i sistemi di controllo delle forniture, la presenza di fornitori certificati, la presenza di due o più fornitori per ciascun prodotto.</w:t>
      </w:r>
    </w:p>
    <w:p w:rsidR="00583682" w:rsidRPr="00583682" w:rsidRDefault="00583682" w:rsidP="001A141B">
      <w:pPr>
        <w:numPr>
          <w:ilvl w:val="1"/>
          <w:numId w:val="10"/>
        </w:numPr>
        <w:spacing w:after="0" w:line="360" w:lineRule="auto"/>
        <w:jc w:val="both"/>
        <w:rPr>
          <w:rFonts w:ascii="Garamond" w:hAnsi="Garamond"/>
          <w:sz w:val="24"/>
          <w:szCs w:val="24"/>
        </w:rPr>
      </w:pPr>
      <w:r w:rsidRPr="00583682">
        <w:rPr>
          <w:rFonts w:ascii="Garamond" w:hAnsi="Garamond"/>
          <w:sz w:val="24"/>
          <w:szCs w:val="24"/>
        </w:rPr>
        <w:t>Una proposta,</w:t>
      </w:r>
      <w:r w:rsidR="00617062">
        <w:rPr>
          <w:rFonts w:ascii="Garamond" w:hAnsi="Garamond"/>
          <w:sz w:val="24"/>
          <w:szCs w:val="24"/>
        </w:rPr>
        <w:t xml:space="preserve"> </w:t>
      </w:r>
      <w:bookmarkStart w:id="0" w:name="_GoBack"/>
      <w:bookmarkEnd w:id="0"/>
      <w:r w:rsidRPr="00583682">
        <w:rPr>
          <w:rFonts w:ascii="Garamond" w:hAnsi="Garamond"/>
          <w:bCs/>
          <w:sz w:val="24"/>
          <w:szCs w:val="24"/>
        </w:rPr>
        <w:t>sulla base di reperibilità di mercato, di derrate aggiuntive appartenenti alla categoria biologico rispetto a quelle obbligatorie da Capitolato</w:t>
      </w:r>
    </w:p>
    <w:p w:rsidR="00583682" w:rsidRPr="00583682" w:rsidRDefault="00583682" w:rsidP="001A141B">
      <w:pPr>
        <w:numPr>
          <w:ilvl w:val="1"/>
          <w:numId w:val="10"/>
        </w:numPr>
        <w:spacing w:after="0" w:line="360" w:lineRule="auto"/>
        <w:jc w:val="both"/>
        <w:rPr>
          <w:rFonts w:ascii="Garamond" w:hAnsi="Garamond"/>
          <w:sz w:val="24"/>
          <w:szCs w:val="24"/>
        </w:rPr>
      </w:pPr>
      <w:r w:rsidRPr="00583682">
        <w:rPr>
          <w:rFonts w:ascii="Garamond" w:hAnsi="Garamond"/>
          <w:sz w:val="24"/>
          <w:szCs w:val="24"/>
        </w:rPr>
        <w:t>Una proposta di ulteriori prodotti alimentari con caratteristiche atte alla salvaguardia dell’ambiente (filiera corta, lotta integrata,  pesca sostenibile) rispetto a quanto già richiesto dal Capitolato.</w:t>
      </w:r>
    </w:p>
    <w:p w:rsidR="00583682" w:rsidRPr="00583682" w:rsidRDefault="00583682" w:rsidP="001A141B">
      <w:pPr>
        <w:numPr>
          <w:ilvl w:val="1"/>
          <w:numId w:val="10"/>
        </w:numPr>
        <w:spacing w:after="0" w:line="360" w:lineRule="auto"/>
        <w:jc w:val="both"/>
        <w:rPr>
          <w:rFonts w:ascii="Garamond" w:hAnsi="Garamond"/>
          <w:sz w:val="24"/>
          <w:szCs w:val="24"/>
        </w:rPr>
      </w:pPr>
      <w:r w:rsidRPr="00583682">
        <w:rPr>
          <w:rFonts w:ascii="Garamond" w:hAnsi="Garamond"/>
          <w:sz w:val="24"/>
          <w:szCs w:val="24"/>
        </w:rPr>
        <w:t>Una proposta di ulteriori prodotti alimentari con caratteristiche merceologiche IGP, DOP, STG, Tradizionali, rispetto a quanto già chiesto nel Capitolato.</w:t>
      </w:r>
    </w:p>
    <w:p w:rsidR="00583682" w:rsidRPr="00583682" w:rsidRDefault="00583682" w:rsidP="001A141B">
      <w:pPr>
        <w:numPr>
          <w:ilvl w:val="0"/>
          <w:numId w:val="11"/>
        </w:numPr>
        <w:spacing w:after="0" w:line="360" w:lineRule="auto"/>
        <w:jc w:val="both"/>
        <w:rPr>
          <w:rFonts w:ascii="Garamond" w:hAnsi="Garamond"/>
          <w:b/>
          <w:sz w:val="24"/>
          <w:szCs w:val="24"/>
        </w:rPr>
      </w:pPr>
      <w:r w:rsidRPr="00583682">
        <w:rPr>
          <w:rFonts w:ascii="Garamond" w:hAnsi="Garamond"/>
          <w:b/>
          <w:sz w:val="24"/>
          <w:szCs w:val="24"/>
        </w:rPr>
        <w:t xml:space="preserve">Presentazione dell’organizzazione  </w:t>
      </w:r>
    </w:p>
    <w:p w:rsidR="00583682" w:rsidRPr="00583682" w:rsidRDefault="00583682" w:rsidP="001A141B">
      <w:pPr>
        <w:numPr>
          <w:ilvl w:val="1"/>
          <w:numId w:val="11"/>
        </w:numPr>
        <w:spacing w:after="0" w:line="360" w:lineRule="auto"/>
        <w:jc w:val="both"/>
        <w:rPr>
          <w:rFonts w:ascii="Garamond" w:hAnsi="Garamond"/>
          <w:b/>
          <w:sz w:val="24"/>
          <w:szCs w:val="24"/>
        </w:rPr>
      </w:pPr>
      <w:r w:rsidRPr="00583682">
        <w:rPr>
          <w:rFonts w:ascii="Garamond" w:hAnsi="Garamond"/>
          <w:sz w:val="24"/>
          <w:szCs w:val="24"/>
        </w:rPr>
        <w:t>Le modalità di gestione della fornitura a partire dal processo acquisizione ordini fino alla consegna del prodotto agli asili nido.</w:t>
      </w:r>
    </w:p>
    <w:p w:rsidR="00583682" w:rsidRPr="00583682" w:rsidRDefault="00583682" w:rsidP="001A141B">
      <w:pPr>
        <w:numPr>
          <w:ilvl w:val="1"/>
          <w:numId w:val="11"/>
        </w:numPr>
        <w:spacing w:after="0" w:line="360" w:lineRule="auto"/>
        <w:jc w:val="both"/>
        <w:rPr>
          <w:rFonts w:ascii="Garamond" w:hAnsi="Garamond"/>
          <w:b/>
          <w:sz w:val="24"/>
          <w:szCs w:val="24"/>
        </w:rPr>
      </w:pPr>
      <w:r w:rsidRPr="00583682">
        <w:rPr>
          <w:rFonts w:ascii="Garamond" w:hAnsi="Garamond"/>
          <w:sz w:val="24"/>
          <w:szCs w:val="24"/>
        </w:rPr>
        <w:t>Gli strumenti  di verifica e monitoraggio della qualità del servizio con particolare riferimento alla presenza di strumenti per il monitoraggio del magazzino, per l’ottimizzazione dei tempi di elaborazione degli ordini e verifica della corretta tempistica di consegna.</w:t>
      </w:r>
    </w:p>
    <w:p w:rsidR="00583682" w:rsidRPr="00583682" w:rsidRDefault="00583682" w:rsidP="001A141B">
      <w:pPr>
        <w:numPr>
          <w:ilvl w:val="1"/>
          <w:numId w:val="11"/>
        </w:numPr>
        <w:spacing w:after="0" w:line="360" w:lineRule="auto"/>
        <w:jc w:val="both"/>
        <w:rPr>
          <w:rFonts w:ascii="Garamond" w:hAnsi="Garamond"/>
          <w:b/>
          <w:sz w:val="24"/>
          <w:szCs w:val="24"/>
        </w:rPr>
      </w:pPr>
      <w:r w:rsidRPr="00583682">
        <w:rPr>
          <w:rFonts w:ascii="Garamond" w:hAnsi="Garamond"/>
          <w:sz w:val="24"/>
          <w:szCs w:val="24"/>
        </w:rPr>
        <w:lastRenderedPageBreak/>
        <w:t>Strumenti di gestione della fornitura in situazioni di emergenza tecnico-organizzativa e di irreperibilità dei prodotti.</w:t>
      </w:r>
    </w:p>
    <w:p w:rsidR="00583682" w:rsidRPr="00583682" w:rsidRDefault="00583682" w:rsidP="001A141B">
      <w:pPr>
        <w:numPr>
          <w:ilvl w:val="1"/>
          <w:numId w:val="11"/>
        </w:numPr>
        <w:spacing w:after="0" w:line="360" w:lineRule="auto"/>
        <w:jc w:val="both"/>
        <w:rPr>
          <w:rFonts w:ascii="Garamond" w:hAnsi="Garamond"/>
          <w:b/>
          <w:sz w:val="24"/>
          <w:szCs w:val="24"/>
        </w:rPr>
      </w:pPr>
      <w:r w:rsidRPr="00583682">
        <w:rPr>
          <w:rFonts w:ascii="Garamond" w:hAnsi="Garamond"/>
          <w:sz w:val="24"/>
          <w:szCs w:val="24"/>
        </w:rPr>
        <w:t>Strumenti informatici messi a disposizione per la fornitura o per la gestione degli ordini.</w:t>
      </w:r>
    </w:p>
    <w:p w:rsidR="00583682" w:rsidRPr="00583682" w:rsidRDefault="00583682" w:rsidP="001A141B">
      <w:pPr>
        <w:numPr>
          <w:ilvl w:val="1"/>
          <w:numId w:val="11"/>
        </w:numPr>
        <w:spacing w:after="0" w:line="360" w:lineRule="auto"/>
        <w:jc w:val="both"/>
        <w:rPr>
          <w:rFonts w:ascii="Garamond" w:hAnsi="Garamond"/>
          <w:b/>
          <w:sz w:val="24"/>
          <w:szCs w:val="24"/>
        </w:rPr>
      </w:pPr>
      <w:r w:rsidRPr="00583682">
        <w:rPr>
          <w:rFonts w:ascii="Garamond" w:hAnsi="Garamond"/>
          <w:sz w:val="24"/>
          <w:szCs w:val="24"/>
        </w:rPr>
        <w:t>Programmi di formazione di ciascuna categoria di dipendenti coinvolti nel servizio di fornitura (con esclusione di quella obbligatoria) con indicazione del monte ore complessivo di formazione.</w:t>
      </w:r>
    </w:p>
    <w:p w:rsidR="00583682" w:rsidRPr="00583682" w:rsidRDefault="00583682" w:rsidP="001A141B">
      <w:pPr>
        <w:numPr>
          <w:ilvl w:val="0"/>
          <w:numId w:val="11"/>
        </w:numPr>
        <w:spacing w:after="0" w:line="360" w:lineRule="auto"/>
        <w:jc w:val="both"/>
        <w:rPr>
          <w:rFonts w:ascii="Garamond" w:hAnsi="Garamond"/>
          <w:b/>
          <w:sz w:val="24"/>
          <w:szCs w:val="24"/>
        </w:rPr>
      </w:pPr>
      <w:r w:rsidRPr="00583682">
        <w:rPr>
          <w:rFonts w:ascii="Garamond" w:hAnsi="Garamond"/>
          <w:b/>
          <w:sz w:val="24"/>
          <w:szCs w:val="24"/>
        </w:rPr>
        <w:t>Sostenibilità Ambientale</w:t>
      </w:r>
    </w:p>
    <w:p w:rsidR="00583682" w:rsidRPr="00583682" w:rsidRDefault="00583682" w:rsidP="001A141B">
      <w:pPr>
        <w:numPr>
          <w:ilvl w:val="1"/>
          <w:numId w:val="11"/>
        </w:numPr>
        <w:spacing w:after="0" w:line="360" w:lineRule="auto"/>
        <w:jc w:val="both"/>
        <w:rPr>
          <w:rFonts w:ascii="Garamond" w:hAnsi="Garamond"/>
          <w:b/>
          <w:sz w:val="24"/>
          <w:szCs w:val="24"/>
        </w:rPr>
      </w:pPr>
      <w:r w:rsidRPr="00583682">
        <w:rPr>
          <w:rFonts w:ascii="Garamond" w:hAnsi="Garamond"/>
          <w:sz w:val="24"/>
          <w:szCs w:val="24"/>
        </w:rPr>
        <w:t>La tipologia di alimentazione e classe ecologica dei mezzi di trasporto su gomma utilizzati per il trasporto delle derrate.</w:t>
      </w:r>
    </w:p>
    <w:p w:rsidR="00583682" w:rsidRPr="00583682" w:rsidRDefault="00583682" w:rsidP="00583682">
      <w:pPr>
        <w:numPr>
          <w:ilvl w:val="1"/>
          <w:numId w:val="11"/>
        </w:numPr>
        <w:spacing w:line="360" w:lineRule="auto"/>
        <w:jc w:val="both"/>
        <w:rPr>
          <w:rFonts w:ascii="Garamond" w:hAnsi="Garamond"/>
          <w:b/>
          <w:sz w:val="24"/>
          <w:szCs w:val="24"/>
        </w:rPr>
      </w:pPr>
      <w:r w:rsidRPr="00583682">
        <w:rPr>
          <w:rFonts w:ascii="Garamond" w:hAnsi="Garamond"/>
          <w:sz w:val="24"/>
          <w:szCs w:val="24"/>
        </w:rPr>
        <w:t>Utilizzo per gli imballaggi di materiali a basso impatto ambientale come dai Criteri Ambientali Minimi per il servizio di ristorazione collettiva e fornitura di derrate alimentari.</w:t>
      </w:r>
    </w:p>
    <w:p w:rsidR="001A141B" w:rsidRPr="001A141B" w:rsidRDefault="001A141B" w:rsidP="001A141B">
      <w:pPr>
        <w:pStyle w:val="Paragrafoelenco"/>
        <w:spacing w:line="360" w:lineRule="auto"/>
        <w:ind w:left="0"/>
        <w:jc w:val="both"/>
        <w:rPr>
          <w:rFonts w:ascii="Garamond" w:hAnsi="Garamond"/>
          <w:sz w:val="24"/>
          <w:szCs w:val="24"/>
        </w:rPr>
      </w:pPr>
      <w:r w:rsidRPr="001A141B">
        <w:rPr>
          <w:rFonts w:ascii="Garamond" w:hAnsi="Garamond"/>
          <w:sz w:val="24"/>
          <w:szCs w:val="24"/>
        </w:rPr>
        <w:t xml:space="preserve">I criteri di valutazione dell’offerta tecnica per i lotti </w:t>
      </w:r>
      <w:r>
        <w:rPr>
          <w:rFonts w:ascii="Garamond" w:hAnsi="Garamond"/>
          <w:sz w:val="24"/>
          <w:szCs w:val="24"/>
        </w:rPr>
        <w:t>8</w:t>
      </w:r>
      <w:r w:rsidRPr="001A141B">
        <w:rPr>
          <w:rFonts w:ascii="Garamond" w:hAnsi="Garamond"/>
          <w:sz w:val="24"/>
          <w:szCs w:val="24"/>
        </w:rPr>
        <w:t xml:space="preserve">, </w:t>
      </w:r>
      <w:r>
        <w:rPr>
          <w:rFonts w:ascii="Garamond" w:hAnsi="Garamond"/>
          <w:sz w:val="24"/>
          <w:szCs w:val="24"/>
        </w:rPr>
        <w:t xml:space="preserve">9 </w:t>
      </w:r>
      <w:r w:rsidRPr="001A141B">
        <w:rPr>
          <w:rFonts w:ascii="Garamond" w:hAnsi="Garamond"/>
          <w:sz w:val="24"/>
          <w:szCs w:val="24"/>
        </w:rPr>
        <w:t xml:space="preserve">e </w:t>
      </w:r>
      <w:r>
        <w:rPr>
          <w:rFonts w:ascii="Garamond" w:hAnsi="Garamond"/>
          <w:sz w:val="24"/>
          <w:szCs w:val="24"/>
        </w:rPr>
        <w:t>10</w:t>
      </w:r>
      <w:r w:rsidRPr="001A141B">
        <w:rPr>
          <w:rFonts w:ascii="Garamond" w:hAnsi="Garamond"/>
          <w:sz w:val="24"/>
          <w:szCs w:val="24"/>
        </w:rPr>
        <w:t xml:space="preserve"> privilegeranno i seguenti punti:</w:t>
      </w:r>
    </w:p>
    <w:p w:rsidR="00526B6A" w:rsidRDefault="001A141B" w:rsidP="00526B6A">
      <w:pPr>
        <w:numPr>
          <w:ilvl w:val="0"/>
          <w:numId w:val="12"/>
        </w:numPr>
        <w:spacing w:after="0" w:line="360" w:lineRule="auto"/>
        <w:jc w:val="both"/>
        <w:rPr>
          <w:rFonts w:ascii="Garamond" w:hAnsi="Garamond"/>
          <w:b/>
          <w:sz w:val="24"/>
          <w:szCs w:val="24"/>
        </w:rPr>
      </w:pPr>
      <w:r w:rsidRPr="001A141B">
        <w:rPr>
          <w:rFonts w:ascii="Garamond" w:hAnsi="Garamond"/>
          <w:b/>
          <w:sz w:val="24"/>
          <w:szCs w:val="24"/>
        </w:rPr>
        <w:t>Derrate Alimentari :</w:t>
      </w:r>
    </w:p>
    <w:p w:rsidR="001A141B" w:rsidRPr="001A141B" w:rsidRDefault="00526B6A" w:rsidP="001A141B">
      <w:pPr>
        <w:numPr>
          <w:ilvl w:val="1"/>
          <w:numId w:val="13"/>
        </w:numPr>
        <w:spacing w:after="0" w:line="360" w:lineRule="auto"/>
        <w:jc w:val="both"/>
        <w:rPr>
          <w:rFonts w:ascii="Garamond" w:hAnsi="Garamond"/>
          <w:sz w:val="24"/>
          <w:szCs w:val="24"/>
        </w:rPr>
      </w:pPr>
      <w:r>
        <w:rPr>
          <w:rFonts w:ascii="Garamond" w:hAnsi="Garamond"/>
          <w:sz w:val="24"/>
          <w:szCs w:val="24"/>
        </w:rPr>
        <w:t>P</w:t>
      </w:r>
      <w:r w:rsidR="001A141B" w:rsidRPr="001A141B">
        <w:rPr>
          <w:rFonts w:ascii="Garamond" w:hAnsi="Garamond"/>
          <w:sz w:val="24"/>
          <w:szCs w:val="24"/>
        </w:rPr>
        <w:t xml:space="preserve">roposta </w:t>
      </w:r>
      <w:r w:rsidR="001A141B" w:rsidRPr="001A141B">
        <w:rPr>
          <w:rFonts w:ascii="Garamond" w:hAnsi="Garamond"/>
          <w:bCs/>
          <w:sz w:val="24"/>
          <w:szCs w:val="24"/>
        </w:rPr>
        <w:t>(pane e/o pasta per la pizza) da produzione biologica. Sarà oggetto di valutazione l’utilizzo di materie prime di origine biologica (farina, lievito, sale, olio extravergine di oliva).</w:t>
      </w:r>
    </w:p>
    <w:p w:rsidR="001A141B" w:rsidRPr="001A141B" w:rsidRDefault="00526B6A" w:rsidP="001A141B">
      <w:pPr>
        <w:numPr>
          <w:ilvl w:val="1"/>
          <w:numId w:val="13"/>
        </w:numPr>
        <w:spacing w:after="0" w:line="360" w:lineRule="auto"/>
        <w:jc w:val="both"/>
        <w:rPr>
          <w:rFonts w:ascii="Garamond" w:hAnsi="Garamond"/>
          <w:sz w:val="24"/>
          <w:szCs w:val="24"/>
        </w:rPr>
      </w:pPr>
      <w:r>
        <w:rPr>
          <w:rFonts w:ascii="Garamond" w:hAnsi="Garamond"/>
          <w:sz w:val="24"/>
          <w:szCs w:val="24"/>
        </w:rPr>
        <w:t>P</w:t>
      </w:r>
      <w:r w:rsidR="001A141B" w:rsidRPr="001A141B">
        <w:rPr>
          <w:rFonts w:ascii="Garamond" w:hAnsi="Garamond"/>
          <w:sz w:val="24"/>
          <w:szCs w:val="24"/>
        </w:rPr>
        <w:t>rodotti a basso impatto ambientale utilizzati in esecuzione dell’appalto. Saranno oggetto di valutazione l’utilizzo di materie prime provenienti da filiera corta (farina, lievito, sale, olio extravergine di oliva).</w:t>
      </w:r>
    </w:p>
    <w:p w:rsidR="001A141B" w:rsidRPr="001A141B" w:rsidRDefault="00526B6A" w:rsidP="001A141B">
      <w:pPr>
        <w:numPr>
          <w:ilvl w:val="1"/>
          <w:numId w:val="13"/>
        </w:numPr>
        <w:spacing w:after="0" w:line="360" w:lineRule="auto"/>
        <w:jc w:val="both"/>
        <w:rPr>
          <w:rFonts w:ascii="Garamond" w:hAnsi="Garamond"/>
          <w:sz w:val="24"/>
          <w:szCs w:val="24"/>
        </w:rPr>
      </w:pPr>
      <w:r>
        <w:rPr>
          <w:rFonts w:ascii="Garamond" w:hAnsi="Garamond"/>
          <w:sz w:val="24"/>
          <w:szCs w:val="24"/>
        </w:rPr>
        <w:t>O</w:t>
      </w:r>
      <w:r w:rsidR="001A141B" w:rsidRPr="001A141B">
        <w:rPr>
          <w:rFonts w:ascii="Garamond" w:hAnsi="Garamond"/>
          <w:sz w:val="24"/>
          <w:szCs w:val="24"/>
        </w:rPr>
        <w:t>fferta di  prodotti (pane e/o pasta per la pizza) da produzione IGP e/o DOP/tradizionali, di qualità riconosciuta e certificata.</w:t>
      </w:r>
    </w:p>
    <w:p w:rsidR="001A141B" w:rsidRPr="001A141B" w:rsidRDefault="001A141B" w:rsidP="001A141B">
      <w:pPr>
        <w:numPr>
          <w:ilvl w:val="0"/>
          <w:numId w:val="12"/>
        </w:numPr>
        <w:spacing w:after="0" w:line="360" w:lineRule="auto"/>
        <w:jc w:val="both"/>
        <w:rPr>
          <w:rFonts w:ascii="Garamond" w:hAnsi="Garamond"/>
          <w:sz w:val="24"/>
          <w:szCs w:val="24"/>
        </w:rPr>
      </w:pPr>
      <w:r w:rsidRPr="00526B6A">
        <w:rPr>
          <w:rFonts w:ascii="Garamond" w:hAnsi="Garamond"/>
          <w:b/>
          <w:sz w:val="24"/>
          <w:szCs w:val="24"/>
        </w:rPr>
        <w:t>Sostenibilità Ambientale</w:t>
      </w:r>
      <w:r w:rsidRPr="001A141B">
        <w:rPr>
          <w:rFonts w:ascii="Garamond" w:hAnsi="Garamond"/>
          <w:sz w:val="24"/>
          <w:szCs w:val="24"/>
        </w:rPr>
        <w:t xml:space="preserve">: </w:t>
      </w:r>
    </w:p>
    <w:p w:rsidR="001A141B" w:rsidRPr="001A141B" w:rsidRDefault="001A141B" w:rsidP="001A141B">
      <w:pPr>
        <w:numPr>
          <w:ilvl w:val="1"/>
          <w:numId w:val="12"/>
        </w:numPr>
        <w:spacing w:after="0" w:line="360" w:lineRule="auto"/>
        <w:jc w:val="both"/>
        <w:rPr>
          <w:rFonts w:ascii="Garamond" w:hAnsi="Garamond"/>
          <w:sz w:val="24"/>
          <w:szCs w:val="24"/>
        </w:rPr>
      </w:pPr>
      <w:r w:rsidRPr="001A141B">
        <w:rPr>
          <w:rFonts w:ascii="Garamond" w:hAnsi="Garamond"/>
          <w:sz w:val="24"/>
          <w:szCs w:val="24"/>
        </w:rPr>
        <w:t>La tipologia di alimentazione e classe ecologica dei mezzi di trasporto su gomma utilizzati per il trasporto delle derrate;</w:t>
      </w:r>
    </w:p>
    <w:p w:rsidR="001A141B" w:rsidRPr="001A141B" w:rsidRDefault="001A141B" w:rsidP="001A141B">
      <w:pPr>
        <w:numPr>
          <w:ilvl w:val="1"/>
          <w:numId w:val="12"/>
        </w:numPr>
        <w:spacing w:after="0" w:line="360" w:lineRule="auto"/>
        <w:jc w:val="both"/>
        <w:rPr>
          <w:rFonts w:ascii="Garamond" w:hAnsi="Garamond"/>
          <w:sz w:val="24"/>
          <w:szCs w:val="24"/>
        </w:rPr>
      </w:pPr>
      <w:r w:rsidRPr="001A141B">
        <w:rPr>
          <w:rFonts w:ascii="Garamond" w:hAnsi="Garamond"/>
          <w:sz w:val="24"/>
          <w:szCs w:val="24"/>
        </w:rPr>
        <w:t>La tipologia di apparecchiature a ridotto consumo energetico impiegate nell’esecuzione dell’appalto. Saranno privilegiate le apparecchiature a ridotto consumo energetico appartenenti alla classe ≥ A;</w:t>
      </w:r>
    </w:p>
    <w:p w:rsidR="001A141B" w:rsidRPr="001A141B" w:rsidRDefault="001A141B" w:rsidP="001A141B">
      <w:pPr>
        <w:numPr>
          <w:ilvl w:val="1"/>
          <w:numId w:val="12"/>
        </w:numPr>
        <w:spacing w:after="0" w:line="360" w:lineRule="auto"/>
        <w:jc w:val="both"/>
        <w:rPr>
          <w:rFonts w:ascii="Garamond" w:hAnsi="Garamond"/>
          <w:sz w:val="24"/>
          <w:szCs w:val="24"/>
        </w:rPr>
      </w:pPr>
      <w:r w:rsidRPr="001A141B">
        <w:rPr>
          <w:rFonts w:ascii="Garamond" w:hAnsi="Garamond"/>
          <w:sz w:val="24"/>
          <w:szCs w:val="24"/>
        </w:rPr>
        <w:t>La tipologia di forni industriali utilizzati nell’esecuzione dell’appalto. Saranno valutate positivamente le apparecchiature a ridotto consumo energetico.</w:t>
      </w:r>
    </w:p>
    <w:p w:rsidR="001A141B" w:rsidRPr="001A141B" w:rsidRDefault="001A141B" w:rsidP="001A141B">
      <w:pPr>
        <w:numPr>
          <w:ilvl w:val="0"/>
          <w:numId w:val="12"/>
        </w:numPr>
        <w:spacing w:after="0" w:line="360" w:lineRule="auto"/>
        <w:jc w:val="both"/>
        <w:rPr>
          <w:rFonts w:ascii="Garamond" w:hAnsi="Garamond"/>
          <w:sz w:val="24"/>
          <w:szCs w:val="24"/>
        </w:rPr>
      </w:pPr>
      <w:r w:rsidRPr="00526B6A">
        <w:rPr>
          <w:rFonts w:ascii="Garamond" w:hAnsi="Garamond"/>
          <w:b/>
          <w:sz w:val="24"/>
          <w:szCs w:val="24"/>
        </w:rPr>
        <w:t>Sicurezza delle derrate</w:t>
      </w:r>
      <w:r w:rsidRPr="001A141B">
        <w:rPr>
          <w:rFonts w:ascii="Garamond" w:hAnsi="Garamond"/>
          <w:sz w:val="24"/>
          <w:szCs w:val="24"/>
        </w:rPr>
        <w:t xml:space="preserve">: </w:t>
      </w:r>
      <w:r w:rsidR="00526B6A">
        <w:rPr>
          <w:rFonts w:ascii="Garamond" w:hAnsi="Garamond"/>
          <w:sz w:val="24"/>
          <w:szCs w:val="24"/>
        </w:rPr>
        <w:t>e in particolare</w:t>
      </w:r>
      <w:r w:rsidRPr="001A141B">
        <w:rPr>
          <w:rFonts w:ascii="Garamond" w:hAnsi="Garamond"/>
          <w:sz w:val="24"/>
          <w:szCs w:val="24"/>
        </w:rPr>
        <w:t xml:space="preserve"> la gestione dei processi relativi alla sicurezza delle derrate.</w:t>
      </w:r>
    </w:p>
    <w:p w:rsidR="00583682" w:rsidRDefault="00583682" w:rsidP="001A141B">
      <w:pPr>
        <w:spacing w:after="0" w:line="360" w:lineRule="auto"/>
        <w:jc w:val="both"/>
        <w:rPr>
          <w:rFonts w:ascii="Garamond" w:hAnsi="Garamond"/>
          <w:b/>
          <w:sz w:val="24"/>
          <w:szCs w:val="24"/>
        </w:rPr>
      </w:pPr>
    </w:p>
    <w:p w:rsidR="00526B6A" w:rsidRDefault="00526B6A" w:rsidP="001A141B">
      <w:pPr>
        <w:spacing w:after="0" w:line="360" w:lineRule="auto"/>
        <w:jc w:val="both"/>
        <w:rPr>
          <w:rFonts w:ascii="Garamond" w:hAnsi="Garamond"/>
          <w:b/>
          <w:sz w:val="24"/>
          <w:szCs w:val="24"/>
        </w:rPr>
      </w:pPr>
    </w:p>
    <w:p w:rsidR="001A141B" w:rsidRPr="00583682" w:rsidRDefault="001A141B" w:rsidP="00583682">
      <w:pPr>
        <w:spacing w:line="360" w:lineRule="auto"/>
        <w:jc w:val="both"/>
        <w:rPr>
          <w:rFonts w:ascii="Garamond" w:hAnsi="Garamond"/>
          <w:b/>
          <w:sz w:val="24"/>
          <w:szCs w:val="24"/>
        </w:rPr>
      </w:pPr>
    </w:p>
    <w:p w:rsidR="008E5166" w:rsidRDefault="008E5166" w:rsidP="008E5166">
      <w:pPr>
        <w:spacing w:line="360" w:lineRule="auto"/>
        <w:jc w:val="both"/>
        <w:rPr>
          <w:rFonts w:ascii="Garamond" w:hAnsi="Garamond"/>
          <w:sz w:val="24"/>
          <w:szCs w:val="24"/>
        </w:rPr>
      </w:pPr>
      <w:r>
        <w:rPr>
          <w:rFonts w:ascii="Garamond" w:hAnsi="Garamond"/>
          <w:sz w:val="24"/>
          <w:szCs w:val="24"/>
        </w:rPr>
        <w:lastRenderedPageBreak/>
        <w:t xml:space="preserve">L’erogazione della fornitura potrà avvenire per apporto di operatori economici che siano in possesso dei </w:t>
      </w:r>
      <w:r w:rsidRPr="001427F8">
        <w:rPr>
          <w:rFonts w:ascii="Garamond" w:hAnsi="Garamond"/>
          <w:sz w:val="24"/>
          <w:szCs w:val="24"/>
        </w:rPr>
        <w:t>requisiti minimi</w:t>
      </w:r>
      <w:r>
        <w:rPr>
          <w:rFonts w:ascii="Garamond" w:hAnsi="Garamond"/>
          <w:sz w:val="24"/>
          <w:szCs w:val="24"/>
        </w:rPr>
        <w:t xml:space="preserve"> di seguito elencati:</w:t>
      </w:r>
    </w:p>
    <w:p w:rsidR="008E5166" w:rsidRPr="001427F8" w:rsidRDefault="008E5166" w:rsidP="00C93A85">
      <w:pPr>
        <w:spacing w:after="0" w:line="360" w:lineRule="auto"/>
        <w:jc w:val="both"/>
        <w:outlineLvl w:val="0"/>
        <w:rPr>
          <w:rFonts w:ascii="Garamond" w:hAnsi="Garamond"/>
          <w:b/>
          <w:sz w:val="24"/>
          <w:szCs w:val="24"/>
        </w:rPr>
      </w:pPr>
      <w:r w:rsidRPr="001427F8">
        <w:rPr>
          <w:rFonts w:ascii="Garamond" w:hAnsi="Garamond"/>
          <w:b/>
          <w:sz w:val="24"/>
          <w:szCs w:val="24"/>
        </w:rPr>
        <w:t>Requisiti di idoneità:</w:t>
      </w:r>
    </w:p>
    <w:p w:rsidR="008E5166" w:rsidRPr="008E5166" w:rsidRDefault="008E5166" w:rsidP="008E5166">
      <w:pPr>
        <w:pStyle w:val="Paragrafoelenco"/>
        <w:numPr>
          <w:ilvl w:val="0"/>
          <w:numId w:val="3"/>
        </w:numPr>
        <w:spacing w:before="60" w:after="60" w:line="360" w:lineRule="auto"/>
        <w:contextualSpacing w:val="0"/>
        <w:jc w:val="both"/>
        <w:rPr>
          <w:rFonts w:ascii="Garamond" w:hAnsi="Garamond" w:cs="Calibri"/>
          <w:sz w:val="24"/>
          <w:szCs w:val="24"/>
        </w:rPr>
      </w:pPr>
      <w:bookmarkStart w:id="1" w:name="_Ref495411492"/>
      <w:r w:rsidRPr="008E5166">
        <w:rPr>
          <w:rFonts w:ascii="Garamond" w:hAnsi="Garamond" w:cs="Arial"/>
          <w:b/>
          <w:sz w:val="24"/>
          <w:szCs w:val="24"/>
        </w:rPr>
        <w:t xml:space="preserve">Iscrizione </w:t>
      </w:r>
      <w:r w:rsidRPr="008E5166">
        <w:rPr>
          <w:rFonts w:ascii="Garamond" w:hAnsi="Garamond" w:cs="Arial"/>
          <w:sz w:val="24"/>
          <w:szCs w:val="24"/>
        </w:rPr>
        <w:t xml:space="preserve">nel </w:t>
      </w:r>
      <w:r w:rsidRPr="008E5166">
        <w:rPr>
          <w:rFonts w:ascii="Garamond" w:hAnsi="Garamond" w:cs="Calibri"/>
          <w:sz w:val="24"/>
          <w:szCs w:val="24"/>
        </w:rPr>
        <w:t>registro tenuto dalla Camera di commercio industria, artigianato e agricoltura oppure nel registro delle commissioni provinciali per l’artigianato per attività coerenti con quelle oggetto della presente procedura di gara.</w:t>
      </w:r>
      <w:bookmarkEnd w:id="1"/>
    </w:p>
    <w:p w:rsidR="006E4FB1" w:rsidRDefault="006E4FB1" w:rsidP="008E5166">
      <w:pPr>
        <w:pStyle w:val="Paragrafoelenco"/>
        <w:numPr>
          <w:ilvl w:val="0"/>
          <w:numId w:val="3"/>
        </w:numPr>
        <w:spacing w:before="60" w:after="60" w:line="360" w:lineRule="auto"/>
        <w:contextualSpacing w:val="0"/>
        <w:jc w:val="both"/>
        <w:rPr>
          <w:rFonts w:ascii="Garamond" w:hAnsi="Garamond" w:cs="Calibri"/>
          <w:sz w:val="24"/>
          <w:szCs w:val="24"/>
        </w:rPr>
      </w:pPr>
      <w:r>
        <w:rPr>
          <w:rFonts w:ascii="Garamond" w:hAnsi="Garamond" w:cs="Calibri"/>
          <w:sz w:val="24"/>
          <w:szCs w:val="24"/>
        </w:rPr>
        <w:t>Insussistenza di motivi di esclusione di cui all’art. 80 del codice.</w:t>
      </w:r>
    </w:p>
    <w:p w:rsidR="001427F8" w:rsidRPr="001427F8" w:rsidRDefault="001427F8" w:rsidP="00C93A85">
      <w:pPr>
        <w:spacing w:before="60" w:after="60" w:line="360" w:lineRule="auto"/>
        <w:jc w:val="both"/>
        <w:outlineLvl w:val="0"/>
        <w:rPr>
          <w:rFonts w:ascii="Garamond" w:hAnsi="Garamond" w:cs="Calibri"/>
          <w:b/>
          <w:sz w:val="24"/>
          <w:szCs w:val="24"/>
        </w:rPr>
      </w:pPr>
      <w:r w:rsidRPr="001427F8">
        <w:rPr>
          <w:rFonts w:ascii="Garamond" w:hAnsi="Garamond" w:cs="Calibri"/>
          <w:b/>
          <w:sz w:val="24"/>
          <w:szCs w:val="24"/>
        </w:rPr>
        <w:t>Requisiti di capacità economica e finanziaria:</w:t>
      </w:r>
    </w:p>
    <w:p w:rsidR="00526B6A" w:rsidRPr="00526B6A" w:rsidRDefault="00526B6A" w:rsidP="00526B6A">
      <w:pPr>
        <w:pStyle w:val="Paragrafoelenco"/>
        <w:numPr>
          <w:ilvl w:val="0"/>
          <w:numId w:val="6"/>
        </w:numPr>
        <w:spacing w:line="360" w:lineRule="auto"/>
        <w:jc w:val="both"/>
        <w:rPr>
          <w:rFonts w:ascii="Garamond" w:hAnsi="Garamond" w:cs="Calibri"/>
          <w:sz w:val="24"/>
          <w:szCs w:val="24"/>
        </w:rPr>
      </w:pPr>
      <w:bookmarkStart w:id="2" w:name="_Ref497922214"/>
      <w:r w:rsidRPr="00526B6A">
        <w:rPr>
          <w:rFonts w:ascii="Garamond" w:hAnsi="Garamond" w:cs="Calibri"/>
          <w:sz w:val="24"/>
          <w:szCs w:val="24"/>
        </w:rPr>
        <w:t xml:space="preserve">Idonea </w:t>
      </w:r>
      <w:r w:rsidRPr="00526B6A">
        <w:rPr>
          <w:rFonts w:ascii="Garamond" w:hAnsi="Garamond" w:cs="Calibri"/>
          <w:b/>
          <w:sz w:val="24"/>
          <w:szCs w:val="24"/>
        </w:rPr>
        <w:t>dichiarazione di almeno due istituti bancari o intermediari autorizzati</w:t>
      </w:r>
      <w:r w:rsidRPr="00526B6A">
        <w:rPr>
          <w:rFonts w:ascii="Garamond" w:hAnsi="Garamond" w:cs="Calibri"/>
          <w:sz w:val="24"/>
          <w:szCs w:val="24"/>
        </w:rPr>
        <w:t xml:space="preserve"> ai sensi della Legge 1 settembre 1993 n. 385, da cui risulti che l’impresa concorrente, ovvero le singole imprese in caso di RTI, ha/hanno sempre fatto fronte ai propri impegni con regolarità e puntualità e che è/sono in possesso delle capacità finanziaria ed economica per sostenere le forniture in oggetto.</w:t>
      </w:r>
      <w:bookmarkEnd w:id="2"/>
    </w:p>
    <w:p w:rsidR="00526B6A" w:rsidRPr="00526B6A" w:rsidRDefault="00526B6A" w:rsidP="00526B6A">
      <w:pPr>
        <w:pStyle w:val="Paragrafoelenco"/>
        <w:numPr>
          <w:ilvl w:val="0"/>
          <w:numId w:val="6"/>
        </w:numPr>
        <w:spacing w:line="360" w:lineRule="auto"/>
        <w:jc w:val="both"/>
        <w:rPr>
          <w:rFonts w:ascii="Garamond" w:hAnsi="Garamond" w:cs="Calibri"/>
          <w:sz w:val="24"/>
          <w:szCs w:val="24"/>
        </w:rPr>
      </w:pPr>
      <w:r w:rsidRPr="00526B6A">
        <w:rPr>
          <w:rFonts w:ascii="Garamond" w:hAnsi="Garamond" w:cs="Calibri"/>
          <w:b/>
          <w:sz w:val="24"/>
          <w:szCs w:val="24"/>
        </w:rPr>
        <w:t xml:space="preserve">Fatturato globale medio annuo </w:t>
      </w:r>
      <w:r w:rsidRPr="00526B6A">
        <w:rPr>
          <w:rFonts w:ascii="Garamond" w:hAnsi="Garamond" w:cs="Calibri"/>
          <w:sz w:val="24"/>
          <w:szCs w:val="24"/>
        </w:rPr>
        <w:t>riferito agli ultimi n. 3 esercizi finanziari disponibili non inferiore al doppio dell’importo complessivo presunto del lotto ovvero della somma dei lotti, indicati all’art. 2, IVA esclusa, per cui si intende presentare offerta.</w:t>
      </w:r>
    </w:p>
    <w:p w:rsidR="001427F8" w:rsidRDefault="001427F8" w:rsidP="00526B6A">
      <w:pPr>
        <w:spacing w:before="60" w:after="60" w:line="360" w:lineRule="auto"/>
        <w:jc w:val="both"/>
        <w:outlineLvl w:val="0"/>
        <w:rPr>
          <w:rFonts w:ascii="Garamond" w:hAnsi="Garamond" w:cs="Calibri"/>
          <w:b/>
          <w:sz w:val="24"/>
          <w:szCs w:val="24"/>
        </w:rPr>
      </w:pPr>
      <w:r w:rsidRPr="001427F8">
        <w:rPr>
          <w:rFonts w:ascii="Garamond" w:hAnsi="Garamond" w:cs="Calibri"/>
          <w:b/>
          <w:sz w:val="24"/>
          <w:szCs w:val="24"/>
        </w:rPr>
        <w:t>Requisiti di capacità tecnica e professionale:</w:t>
      </w:r>
    </w:p>
    <w:p w:rsidR="00526B6A" w:rsidRPr="00526B6A" w:rsidRDefault="00526B6A" w:rsidP="00526B6A">
      <w:pPr>
        <w:pStyle w:val="Paragrafoelenco"/>
        <w:numPr>
          <w:ilvl w:val="0"/>
          <w:numId w:val="9"/>
        </w:numPr>
        <w:spacing w:line="360" w:lineRule="auto"/>
        <w:jc w:val="both"/>
        <w:rPr>
          <w:rFonts w:ascii="Garamond" w:hAnsi="Garamond" w:cs="Calibri"/>
          <w:sz w:val="24"/>
          <w:szCs w:val="24"/>
        </w:rPr>
      </w:pPr>
      <w:r w:rsidRPr="00526B6A">
        <w:rPr>
          <w:rFonts w:ascii="Garamond" w:hAnsi="Garamond" w:cs="Calibri"/>
          <w:sz w:val="24"/>
          <w:szCs w:val="24"/>
        </w:rPr>
        <w:t>L’aver svolto forniture analoghe a quelle oggetto dell’appalto nell’ultimo triennio di importo complessivo non inferiore all’importo presunto del lotto o della somma dei lotti, indicati all’art. 2, IVA esclusa, per cui si intende presentare offerta.</w:t>
      </w:r>
    </w:p>
    <w:p w:rsidR="00526B6A" w:rsidRPr="00526B6A" w:rsidRDefault="00526B6A" w:rsidP="00526B6A">
      <w:pPr>
        <w:pStyle w:val="Paragrafoelenco"/>
        <w:numPr>
          <w:ilvl w:val="0"/>
          <w:numId w:val="9"/>
        </w:numPr>
        <w:spacing w:before="60" w:after="60" w:line="360" w:lineRule="auto"/>
        <w:jc w:val="both"/>
        <w:rPr>
          <w:rFonts w:ascii="Garamond" w:hAnsi="Garamond" w:cs="Calibri"/>
          <w:sz w:val="24"/>
          <w:szCs w:val="24"/>
        </w:rPr>
      </w:pPr>
      <w:r w:rsidRPr="00526B6A">
        <w:rPr>
          <w:rFonts w:ascii="Garamond" w:hAnsi="Garamond" w:cs="Calibri"/>
          <w:sz w:val="24"/>
          <w:szCs w:val="24"/>
        </w:rPr>
        <w:t>Il possesso di risorse umane e tecniche e l’esperienza necessaria per eseguire l’appalto assicurando il tempestivo rifornimento e i servizi collegati secondo i termini e le modalità indicati nel capitolato d’appalto.</w:t>
      </w:r>
    </w:p>
    <w:p w:rsidR="00526B6A" w:rsidRPr="00526B6A" w:rsidRDefault="00526B6A" w:rsidP="00526B6A">
      <w:pPr>
        <w:pStyle w:val="Paragrafoelenco"/>
        <w:numPr>
          <w:ilvl w:val="0"/>
          <w:numId w:val="9"/>
        </w:numPr>
        <w:spacing w:before="60" w:after="60" w:line="360" w:lineRule="auto"/>
        <w:jc w:val="both"/>
        <w:rPr>
          <w:rFonts w:ascii="Garamond" w:hAnsi="Garamond" w:cs="Calibri"/>
          <w:sz w:val="24"/>
          <w:szCs w:val="24"/>
        </w:rPr>
      </w:pPr>
      <w:r w:rsidRPr="00526B6A">
        <w:rPr>
          <w:rFonts w:ascii="Garamond" w:hAnsi="Garamond" w:cs="Calibri"/>
          <w:sz w:val="24"/>
          <w:szCs w:val="24"/>
        </w:rPr>
        <w:t xml:space="preserve">Per i partecipanti ai lotti 1, 2, 3, 4, 5, 6 e 7 il possesso di una valutazione di conformità del proprio sistema di gestione della qualità alla norma UNI EN ISO 9001 idonea, pertinente e proporzionata all’oggetto del presente appalto. </w:t>
      </w:r>
    </w:p>
    <w:p w:rsidR="00526B6A" w:rsidRPr="00526B6A" w:rsidRDefault="00526B6A" w:rsidP="00526B6A">
      <w:pPr>
        <w:pStyle w:val="Paragrafoelenco"/>
        <w:spacing w:before="60" w:after="60" w:line="360" w:lineRule="auto"/>
        <w:jc w:val="both"/>
        <w:rPr>
          <w:rFonts w:ascii="Garamond" w:hAnsi="Garamond" w:cs="Calibri"/>
          <w:sz w:val="24"/>
          <w:szCs w:val="24"/>
        </w:rPr>
      </w:pPr>
      <w:r w:rsidRPr="00526B6A">
        <w:rPr>
          <w:rFonts w:ascii="Garamond" w:hAnsi="Garamond" w:cs="Calibri"/>
          <w:sz w:val="24"/>
          <w:szCs w:val="24"/>
        </w:rPr>
        <w:t>Al ricorrere delle condizioni di cui all’articolo 87, comma 1 del Codice, la stazione appaltante accett</w:t>
      </w:r>
      <w:r>
        <w:rPr>
          <w:rFonts w:ascii="Garamond" w:hAnsi="Garamond" w:cs="Calibri"/>
          <w:sz w:val="24"/>
          <w:szCs w:val="24"/>
        </w:rPr>
        <w:t>erà</w:t>
      </w:r>
      <w:r w:rsidRPr="00526B6A">
        <w:rPr>
          <w:rFonts w:ascii="Garamond" w:hAnsi="Garamond" w:cs="Calibri"/>
          <w:sz w:val="24"/>
          <w:szCs w:val="24"/>
        </w:rPr>
        <w:t xml:space="preserve"> anche altre prove relative all’impiego di misure equivalenti, valutando l’adeguatezza delle medesime agli standard sopra indicati.</w:t>
      </w:r>
    </w:p>
    <w:p w:rsidR="00526B6A" w:rsidRPr="00526B6A" w:rsidRDefault="00526B6A" w:rsidP="00526B6A">
      <w:pPr>
        <w:pStyle w:val="Paragrafoelenco"/>
        <w:spacing w:before="60" w:after="60" w:line="360" w:lineRule="auto"/>
        <w:jc w:val="both"/>
        <w:rPr>
          <w:rFonts w:ascii="Garamond" w:hAnsi="Garamond" w:cs="Calibri"/>
          <w:b/>
          <w:sz w:val="24"/>
          <w:szCs w:val="24"/>
        </w:rPr>
      </w:pPr>
    </w:p>
    <w:p w:rsidR="00832081" w:rsidRPr="00942A05" w:rsidRDefault="00942A05" w:rsidP="00C81B52">
      <w:pPr>
        <w:spacing w:before="60" w:after="60" w:line="360" w:lineRule="auto"/>
        <w:jc w:val="both"/>
        <w:rPr>
          <w:rFonts w:ascii="Garamond" w:hAnsi="Garamond" w:cs="Calibri"/>
          <w:b/>
          <w:sz w:val="24"/>
          <w:szCs w:val="24"/>
        </w:rPr>
      </w:pPr>
      <w:r w:rsidRPr="00942A05">
        <w:rPr>
          <w:rFonts w:ascii="Garamond" w:hAnsi="Garamond" w:cs="Calibri"/>
          <w:b/>
          <w:sz w:val="24"/>
          <w:szCs w:val="24"/>
        </w:rPr>
        <w:t>Costi della sicurezza da interferenza</w:t>
      </w:r>
    </w:p>
    <w:p w:rsidR="006E4FB1" w:rsidRDefault="00832081" w:rsidP="00C81B52">
      <w:pPr>
        <w:spacing w:before="60" w:after="60" w:line="360" w:lineRule="auto"/>
        <w:jc w:val="both"/>
        <w:rPr>
          <w:rFonts w:ascii="Garamond" w:hAnsi="Garamond" w:cs="Calibri"/>
          <w:sz w:val="24"/>
          <w:szCs w:val="24"/>
        </w:rPr>
      </w:pPr>
      <w:r w:rsidRPr="00832081">
        <w:rPr>
          <w:rFonts w:ascii="Garamond" w:hAnsi="Garamond" w:cs="Calibri"/>
          <w:sz w:val="24"/>
          <w:szCs w:val="24"/>
        </w:rPr>
        <w:t>L’analisi svolta al fine di individuare le possibili interferenze, cioè eventuali contatti rischiosi tra il personale di AMES SpA e quello dell’aggiudicatario nell’ambito dell’appalto, ha evidenziato come</w:t>
      </w:r>
      <w:r>
        <w:rPr>
          <w:rFonts w:ascii="Garamond" w:hAnsi="Garamond" w:cs="Calibri"/>
          <w:sz w:val="24"/>
          <w:szCs w:val="24"/>
        </w:rPr>
        <w:t xml:space="preserve"> </w:t>
      </w:r>
      <w:r w:rsidRPr="00832081">
        <w:rPr>
          <w:rFonts w:ascii="Garamond" w:hAnsi="Garamond" w:cs="Calibri"/>
          <w:sz w:val="24"/>
          <w:szCs w:val="24"/>
        </w:rPr>
        <w:t xml:space="preserve">le </w:t>
      </w:r>
      <w:r w:rsidRPr="00832081">
        <w:rPr>
          <w:rFonts w:ascii="Garamond" w:hAnsi="Garamond" w:cs="Calibri"/>
          <w:sz w:val="24"/>
          <w:szCs w:val="24"/>
        </w:rPr>
        <w:lastRenderedPageBreak/>
        <w:t>prestazioni di cui trattasi, alla data odierna, non causano sostanzialmente interferenze ai fini ed</w:t>
      </w:r>
      <w:r>
        <w:rPr>
          <w:rFonts w:ascii="Garamond" w:hAnsi="Garamond" w:cs="Calibri"/>
          <w:sz w:val="24"/>
          <w:szCs w:val="24"/>
        </w:rPr>
        <w:t xml:space="preserve"> </w:t>
      </w:r>
      <w:r w:rsidRPr="00832081">
        <w:rPr>
          <w:rFonts w:ascii="Garamond" w:hAnsi="Garamond" w:cs="Calibri"/>
          <w:sz w:val="24"/>
          <w:szCs w:val="24"/>
        </w:rPr>
        <w:t>ai sensi dell’art. 26 del D. Lgs. n. 81/08 e ss.mm.ii., da cui discende che non è necessaria l</w:t>
      </w:r>
      <w:r>
        <w:rPr>
          <w:rFonts w:ascii="Garamond" w:hAnsi="Garamond" w:cs="Calibri"/>
          <w:sz w:val="24"/>
          <w:szCs w:val="24"/>
        </w:rPr>
        <w:t xml:space="preserve">a </w:t>
      </w:r>
      <w:r w:rsidRPr="00832081">
        <w:rPr>
          <w:rFonts w:ascii="Garamond" w:hAnsi="Garamond" w:cs="Calibri"/>
          <w:sz w:val="24"/>
          <w:szCs w:val="24"/>
        </w:rPr>
        <w:t>redazione del DUVRI e non ci sono costi della sicurezza da interferenza.</w:t>
      </w:r>
    </w:p>
    <w:p w:rsidR="00700D9C" w:rsidRDefault="00700D9C" w:rsidP="00C81B52">
      <w:pPr>
        <w:spacing w:before="60" w:after="60" w:line="360" w:lineRule="auto"/>
        <w:jc w:val="both"/>
        <w:rPr>
          <w:rFonts w:ascii="Garamond" w:hAnsi="Garamond" w:cs="Calibri"/>
          <w:sz w:val="24"/>
          <w:szCs w:val="24"/>
        </w:rPr>
      </w:pPr>
    </w:p>
    <w:p w:rsidR="00700D9C" w:rsidRPr="00832081" w:rsidRDefault="00700D9C" w:rsidP="00A843D2">
      <w:pPr>
        <w:spacing w:before="60" w:after="60" w:line="360" w:lineRule="auto"/>
        <w:jc w:val="both"/>
        <w:rPr>
          <w:rFonts w:ascii="Garamond" w:hAnsi="Garamond" w:cs="Calibri"/>
          <w:sz w:val="24"/>
          <w:szCs w:val="24"/>
        </w:rPr>
      </w:pP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r>
      <w:r>
        <w:rPr>
          <w:rFonts w:ascii="Garamond" w:hAnsi="Garamond" w:cs="Calibri"/>
          <w:sz w:val="24"/>
          <w:szCs w:val="24"/>
        </w:rPr>
        <w:tab/>
        <w:t xml:space="preserve">                   </w:t>
      </w:r>
    </w:p>
    <w:p w:rsidR="008E5166" w:rsidRPr="00C81B52" w:rsidRDefault="008E5166" w:rsidP="00C81B52">
      <w:pPr>
        <w:spacing w:line="360" w:lineRule="auto"/>
        <w:jc w:val="both"/>
        <w:rPr>
          <w:rFonts w:ascii="Garamond" w:hAnsi="Garamond"/>
          <w:sz w:val="24"/>
          <w:szCs w:val="24"/>
        </w:rPr>
      </w:pPr>
    </w:p>
    <w:sectPr w:rsidR="008E5166" w:rsidRPr="00C81B52" w:rsidSect="00D80E6F">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82" w:rsidRDefault="00583682" w:rsidP="00583682">
      <w:pPr>
        <w:spacing w:after="0" w:line="240" w:lineRule="auto"/>
      </w:pPr>
      <w:r>
        <w:separator/>
      </w:r>
    </w:p>
  </w:endnote>
  <w:endnote w:type="continuationSeparator" w:id="0">
    <w:p w:rsidR="00583682" w:rsidRDefault="00583682" w:rsidP="0058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02"/>
      <w:docPartObj>
        <w:docPartGallery w:val="Page Numbers (Bottom of Page)"/>
        <w:docPartUnique/>
      </w:docPartObj>
    </w:sdtPr>
    <w:sdtEndPr/>
    <w:sdtContent>
      <w:p w:rsidR="00583682" w:rsidRDefault="00617062">
        <w:pPr>
          <w:pStyle w:val="Pidipagina"/>
          <w:jc w:val="right"/>
        </w:pPr>
        <w:r>
          <w:fldChar w:fldCharType="begin"/>
        </w:r>
        <w:r>
          <w:instrText xml:space="preserve"> PAGE   \* MERGEFORMAT </w:instrText>
        </w:r>
        <w:r>
          <w:fldChar w:fldCharType="separate"/>
        </w:r>
        <w:r>
          <w:rPr>
            <w:noProof/>
          </w:rPr>
          <w:t>7</w:t>
        </w:r>
        <w:r>
          <w:rPr>
            <w:noProof/>
          </w:rPr>
          <w:fldChar w:fldCharType="end"/>
        </w:r>
      </w:p>
    </w:sdtContent>
  </w:sdt>
  <w:p w:rsidR="00583682" w:rsidRDefault="005836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82" w:rsidRDefault="00583682" w:rsidP="00583682">
      <w:pPr>
        <w:spacing w:after="0" w:line="240" w:lineRule="auto"/>
      </w:pPr>
      <w:r>
        <w:separator/>
      </w:r>
    </w:p>
  </w:footnote>
  <w:footnote w:type="continuationSeparator" w:id="0">
    <w:p w:rsidR="00583682" w:rsidRDefault="00583682" w:rsidP="00583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EC"/>
    <w:multiLevelType w:val="multilevel"/>
    <w:tmpl w:val="F57E89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521FDD"/>
    <w:multiLevelType w:val="multilevel"/>
    <w:tmpl w:val="38BCDE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5845CF"/>
    <w:multiLevelType w:val="hybridMultilevel"/>
    <w:tmpl w:val="CCCE7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DA2C6A"/>
    <w:multiLevelType w:val="hybridMultilevel"/>
    <w:tmpl w:val="25EEA6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E72EB5"/>
    <w:multiLevelType w:val="hybridMultilevel"/>
    <w:tmpl w:val="2304DC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4816E82"/>
    <w:multiLevelType w:val="hybridMultilevel"/>
    <w:tmpl w:val="C1EE52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4941621"/>
    <w:multiLevelType w:val="hybridMultilevel"/>
    <w:tmpl w:val="28DCFC3E"/>
    <w:lvl w:ilvl="0" w:tplc="3C88BE8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102727"/>
    <w:multiLevelType w:val="hybridMultilevel"/>
    <w:tmpl w:val="5AEA43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5B4A01A7"/>
    <w:multiLevelType w:val="hybridMultilevel"/>
    <w:tmpl w:val="134A4C3A"/>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nsid w:val="5B797167"/>
    <w:multiLevelType w:val="hybridMultilevel"/>
    <w:tmpl w:val="8E2E0C52"/>
    <w:lvl w:ilvl="0" w:tplc="0410000F">
      <w:start w:val="1"/>
      <w:numFmt w:val="decimal"/>
      <w:lvlText w:val="%1."/>
      <w:lvlJc w:val="left"/>
      <w:pPr>
        <w:ind w:left="720" w:hanging="360"/>
      </w:pPr>
    </w:lvl>
    <w:lvl w:ilvl="1" w:tplc="16E0FB62">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C01F4E"/>
    <w:multiLevelType w:val="multilevel"/>
    <w:tmpl w:val="52863CB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386692A"/>
    <w:multiLevelType w:val="hybridMultilevel"/>
    <w:tmpl w:val="981ABA9A"/>
    <w:lvl w:ilvl="0" w:tplc="0410000F">
      <w:start w:val="1"/>
      <w:numFmt w:val="decimal"/>
      <w:lvlText w:val="%1."/>
      <w:lvlJc w:val="left"/>
      <w:pPr>
        <w:ind w:left="720" w:hanging="360"/>
      </w:pPr>
    </w:lvl>
    <w:lvl w:ilvl="1" w:tplc="60809D20">
      <w:start w:val="1"/>
      <w:numFmt w:val="bullet"/>
      <w:lvlText w:val="•"/>
      <w:lvlJc w:val="left"/>
      <w:pPr>
        <w:ind w:left="1785" w:hanging="705"/>
      </w:pPr>
      <w:rPr>
        <w:rFonts w:ascii="Garamond" w:eastAsiaTheme="minorHAnsi" w:hAnsi="Garamond" w:cs="Calibri"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CB06041"/>
    <w:multiLevelType w:val="hybridMultilevel"/>
    <w:tmpl w:val="D3F62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CB7981"/>
    <w:multiLevelType w:val="hybridMultilevel"/>
    <w:tmpl w:val="6178C4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86C0BA8"/>
    <w:multiLevelType w:val="hybridMultilevel"/>
    <w:tmpl w:val="1CEE429C"/>
    <w:lvl w:ilvl="0" w:tplc="F11C85E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BB220B0"/>
    <w:multiLevelType w:val="hybridMultilevel"/>
    <w:tmpl w:val="C87E1B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F0360A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8"/>
  </w:num>
  <w:num w:numId="3">
    <w:abstractNumId w:val="2"/>
  </w:num>
  <w:num w:numId="4">
    <w:abstractNumId w:val="3"/>
  </w:num>
  <w:num w:numId="5">
    <w:abstractNumId w:val="13"/>
  </w:num>
  <w:num w:numId="6">
    <w:abstractNumId w:val="9"/>
  </w:num>
  <w:num w:numId="7">
    <w:abstractNumId w:val="6"/>
  </w:num>
  <w:num w:numId="8">
    <w:abstractNumId w:val="11"/>
  </w:num>
  <w:num w:numId="9">
    <w:abstractNumId w:val="14"/>
  </w:num>
  <w:num w:numId="10">
    <w:abstractNumId w:val="16"/>
  </w:num>
  <w:num w:numId="11">
    <w:abstractNumId w:val="10"/>
  </w:num>
  <w:num w:numId="12">
    <w:abstractNumId w:val="0"/>
  </w:num>
  <w:num w:numId="13">
    <w:abstractNumId w:val="1"/>
  </w:num>
  <w:num w:numId="14">
    <w:abstractNumId w:val="15"/>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5A05"/>
    <w:rsid w:val="000D6ECE"/>
    <w:rsid w:val="001427F8"/>
    <w:rsid w:val="00177015"/>
    <w:rsid w:val="001A141B"/>
    <w:rsid w:val="00205EDE"/>
    <w:rsid w:val="00235ECC"/>
    <w:rsid w:val="00237254"/>
    <w:rsid w:val="00340D95"/>
    <w:rsid w:val="00365A05"/>
    <w:rsid w:val="003704A9"/>
    <w:rsid w:val="003E2E4F"/>
    <w:rsid w:val="003E4190"/>
    <w:rsid w:val="005061A9"/>
    <w:rsid w:val="00526B6A"/>
    <w:rsid w:val="00583682"/>
    <w:rsid w:val="00617062"/>
    <w:rsid w:val="006260F3"/>
    <w:rsid w:val="00685E7A"/>
    <w:rsid w:val="0069652A"/>
    <w:rsid w:val="006E4FB1"/>
    <w:rsid w:val="00700D9C"/>
    <w:rsid w:val="00774730"/>
    <w:rsid w:val="00784DE7"/>
    <w:rsid w:val="008112A0"/>
    <w:rsid w:val="00832081"/>
    <w:rsid w:val="00895301"/>
    <w:rsid w:val="008D040C"/>
    <w:rsid w:val="008E5166"/>
    <w:rsid w:val="00924279"/>
    <w:rsid w:val="00942A05"/>
    <w:rsid w:val="009D103A"/>
    <w:rsid w:val="009F0147"/>
    <w:rsid w:val="00A023FF"/>
    <w:rsid w:val="00A843D2"/>
    <w:rsid w:val="00AB4E68"/>
    <w:rsid w:val="00AF303C"/>
    <w:rsid w:val="00BA6256"/>
    <w:rsid w:val="00BB0A15"/>
    <w:rsid w:val="00BD54A0"/>
    <w:rsid w:val="00BE4FFE"/>
    <w:rsid w:val="00C27C58"/>
    <w:rsid w:val="00C73B77"/>
    <w:rsid w:val="00C81B52"/>
    <w:rsid w:val="00C848CF"/>
    <w:rsid w:val="00C93A85"/>
    <w:rsid w:val="00D05705"/>
    <w:rsid w:val="00D80E6F"/>
    <w:rsid w:val="00F02E75"/>
    <w:rsid w:val="00F53166"/>
    <w:rsid w:val="00FF4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47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7015"/>
    <w:pPr>
      <w:ind w:left="720"/>
      <w:contextualSpacing/>
    </w:pPr>
  </w:style>
  <w:style w:type="paragraph" w:styleId="Nessunaspaziatura">
    <w:name w:val="No Spacing"/>
    <w:link w:val="NessunaspaziaturaCarattere"/>
    <w:uiPriority w:val="1"/>
    <w:qFormat/>
    <w:rsid w:val="00D80E6F"/>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D80E6F"/>
    <w:rPr>
      <w:rFonts w:eastAsiaTheme="minorEastAsia"/>
    </w:rPr>
  </w:style>
  <w:style w:type="paragraph" w:styleId="Testofumetto">
    <w:name w:val="Balloon Text"/>
    <w:basedOn w:val="Normale"/>
    <w:link w:val="TestofumettoCarattere"/>
    <w:uiPriority w:val="99"/>
    <w:semiHidden/>
    <w:unhideWhenUsed/>
    <w:rsid w:val="00D80E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E6F"/>
    <w:rPr>
      <w:rFonts w:ascii="Tahoma" w:hAnsi="Tahoma" w:cs="Tahoma"/>
      <w:sz w:val="16"/>
      <w:szCs w:val="16"/>
    </w:rPr>
  </w:style>
  <w:style w:type="paragraph" w:styleId="Mappadocumento">
    <w:name w:val="Document Map"/>
    <w:basedOn w:val="Normale"/>
    <w:link w:val="MappadocumentoCarattere"/>
    <w:uiPriority w:val="99"/>
    <w:semiHidden/>
    <w:unhideWhenUsed/>
    <w:rsid w:val="00C93A85"/>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93A85"/>
    <w:rPr>
      <w:rFonts w:ascii="Tahoma" w:hAnsi="Tahoma" w:cs="Tahoma"/>
      <w:sz w:val="16"/>
      <w:szCs w:val="16"/>
    </w:rPr>
  </w:style>
  <w:style w:type="paragraph" w:customStyle="1" w:styleId="Titolo11">
    <w:name w:val="Titolo 11"/>
    <w:basedOn w:val="Normale"/>
    <w:uiPriority w:val="1"/>
    <w:qFormat/>
    <w:rsid w:val="00BE4FFE"/>
    <w:pPr>
      <w:widowControl w:val="0"/>
      <w:autoSpaceDE w:val="0"/>
      <w:autoSpaceDN w:val="0"/>
      <w:spacing w:after="0" w:line="240" w:lineRule="auto"/>
      <w:ind w:left="112"/>
      <w:jc w:val="both"/>
      <w:outlineLvl w:val="1"/>
    </w:pPr>
    <w:rPr>
      <w:rFonts w:ascii="Arial" w:eastAsia="Arial" w:hAnsi="Arial" w:cs="Arial"/>
      <w:b/>
      <w:bCs/>
      <w:lang w:val="en-US"/>
    </w:rPr>
  </w:style>
  <w:style w:type="paragraph" w:styleId="Intestazione">
    <w:name w:val="header"/>
    <w:basedOn w:val="Normale"/>
    <w:link w:val="IntestazioneCarattere"/>
    <w:uiPriority w:val="99"/>
    <w:semiHidden/>
    <w:unhideWhenUsed/>
    <w:rsid w:val="005836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3682"/>
  </w:style>
  <w:style w:type="paragraph" w:styleId="Pidipagina">
    <w:name w:val="footer"/>
    <w:basedOn w:val="Normale"/>
    <w:link w:val="PidipaginaCarattere"/>
    <w:uiPriority w:val="99"/>
    <w:unhideWhenUsed/>
    <w:rsid w:val="005836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2214</Words>
  <Characters>12626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APPALTO RELATIVO ALLA FORNITURA DI FARMACO, PARAFARMACO, PRODOTTI DA FARMACIA E SERVIZI CONNESSI, ALLE FARMACIE GESTITE DA A.M.E.S. SPA DI VENEZIA.</vt:lpstr>
    </vt:vector>
  </TitlesOfParts>
  <Company>AMES S.P.A.                                                                                                                                                                AZIENDA MULTISERVIZI ECONOMICI E SOCIALI SPA</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APPALTO RELATIVO ALLA FORNITURA DI GENERI ALIMENTARI PER IL SERVIZIO DI RISTORAZIONE SCOLASTICA AGLI ASILI NIDO NEL COMUNE DI VENEZIA.</dc:title>
  <dc:subject>PROGETTO AI SENSI DELL’ART. 23 COMMI 14 E 15 D.LGS. 50/2016</dc:subject>
  <dc:creator>ffurtak</dc:creator>
  <cp:lastModifiedBy>Debora Di Paola</cp:lastModifiedBy>
  <cp:revision>5</cp:revision>
  <cp:lastPrinted>2018-02-27T14:01:00Z</cp:lastPrinted>
  <dcterms:created xsi:type="dcterms:W3CDTF">2019-04-12T07:45:00Z</dcterms:created>
  <dcterms:modified xsi:type="dcterms:W3CDTF">2019-04-12T08:16:00Z</dcterms:modified>
</cp:coreProperties>
</file>